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onsPlusNormal"/>
        <w:numPr>
          <w:ilvl w:val="0"/>
          <w:numId w:val="0"/>
        </w:numPr>
        <w:ind w:firstLine="720"/>
        <w:jc w:val="right"/>
        <w:outlineLvl w:val="1"/>
        <w:rPr>
          <w:rFonts w:ascii="Liberation Serif" w:hAnsi="Liberation Serif"/>
          <w:sz w:val="22"/>
          <w:szCs w:val="22"/>
        </w:rPr>
      </w:pPr>
      <w:r>
        <w:rPr>
          <w:rFonts w:cs="Times New Roman" w:ascii="Liberation Serif" w:hAnsi="Liberation Serif"/>
          <w:sz w:val="22"/>
          <w:szCs w:val="22"/>
        </w:rPr>
        <w:t>Приложение № 3</w:t>
      </w:r>
    </w:p>
    <w:p>
      <w:pPr>
        <w:pStyle w:val="ConsPlusNormal"/>
        <w:jc w:val="right"/>
        <w:rPr>
          <w:rFonts w:ascii="Liberation Serif" w:hAnsi="Liberation Serif"/>
          <w:sz w:val="22"/>
          <w:szCs w:val="22"/>
        </w:rPr>
      </w:pPr>
      <w:r>
        <w:rPr>
          <w:rFonts w:cs="Times New Roman" w:ascii="Liberation Serif" w:hAnsi="Liberation Serif"/>
          <w:sz w:val="22"/>
          <w:szCs w:val="22"/>
        </w:rPr>
        <w:t xml:space="preserve">к муниципальной программе </w:t>
      </w:r>
    </w:p>
    <w:p>
      <w:pPr>
        <w:pStyle w:val="ConsPlusNormal"/>
        <w:jc w:val="right"/>
        <w:rPr>
          <w:rFonts w:ascii="Liberation Serif" w:hAnsi="Liberation Serif"/>
          <w:sz w:val="22"/>
          <w:szCs w:val="22"/>
        </w:rPr>
      </w:pPr>
      <w:r>
        <w:rPr>
          <w:rFonts w:cs="Times New Roman" w:ascii="Liberation Serif" w:hAnsi="Liberation Serif"/>
          <w:sz w:val="22"/>
          <w:szCs w:val="22"/>
        </w:rPr>
        <w:t>Тугулымского муниципального округа</w:t>
      </w:r>
    </w:p>
    <w:p>
      <w:pPr>
        <w:pStyle w:val="ConsPlusNormal"/>
        <w:jc w:val="right"/>
        <w:rPr>
          <w:rFonts w:ascii="Liberation Serif" w:hAnsi="Liberation Serif"/>
          <w:sz w:val="22"/>
          <w:szCs w:val="22"/>
        </w:rPr>
      </w:pPr>
      <w:r>
        <w:rPr>
          <w:rFonts w:cs="Times New Roman" w:ascii="Liberation Serif" w:hAnsi="Liberation Serif"/>
          <w:sz w:val="22"/>
          <w:szCs w:val="22"/>
        </w:rPr>
        <w:t>«Управление муниципальными финансами</w:t>
      </w:r>
    </w:p>
    <w:p>
      <w:pPr>
        <w:pStyle w:val="ConsPlusNormal"/>
        <w:jc w:val="right"/>
        <w:rPr>
          <w:rFonts w:ascii="Liberation Serif" w:hAnsi="Liberation Serif"/>
          <w:sz w:val="22"/>
          <w:szCs w:val="22"/>
        </w:rPr>
      </w:pPr>
      <w:r>
        <w:rPr>
          <w:rFonts w:cs="Times New Roman" w:ascii="Liberation Serif" w:hAnsi="Liberation Serif"/>
          <w:sz w:val="22"/>
          <w:szCs w:val="22"/>
        </w:rPr>
        <w:t>Тугулымского муниципального округа</w:t>
      </w:r>
    </w:p>
    <w:p>
      <w:pPr>
        <w:pStyle w:val="ConsPlusNormal"/>
        <w:jc w:val="right"/>
        <w:rPr>
          <w:rFonts w:ascii="Liberation Serif" w:hAnsi="Liberation Serif"/>
          <w:sz w:val="22"/>
          <w:szCs w:val="22"/>
        </w:rPr>
      </w:pPr>
      <w:r>
        <w:rPr>
          <w:rFonts w:cs="Times New Roman" w:ascii="Liberation Serif" w:hAnsi="Liberation Serif"/>
          <w:sz w:val="22"/>
          <w:szCs w:val="22"/>
        </w:rPr>
        <w:t>до 2028 года»</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Title"/>
        <w:jc w:val="center"/>
        <w:rPr>
          <w:rFonts w:ascii="Liberation Serif" w:hAnsi="Liberation Serif"/>
          <w:sz w:val="24"/>
          <w:szCs w:val="24"/>
        </w:rPr>
      </w:pPr>
      <w:r>
        <w:rPr>
          <w:rFonts w:ascii="Liberation Serif" w:hAnsi="Liberation Serif"/>
          <w:sz w:val="24"/>
          <w:szCs w:val="24"/>
        </w:rPr>
        <w:t>МЕТОДИКА</w:t>
      </w:r>
    </w:p>
    <w:p>
      <w:pPr>
        <w:pStyle w:val="ConsPlusTitle"/>
        <w:jc w:val="center"/>
        <w:rPr>
          <w:rFonts w:ascii="Liberation Serif" w:hAnsi="Liberation Serif"/>
          <w:sz w:val="24"/>
          <w:szCs w:val="24"/>
        </w:rPr>
      </w:pPr>
      <w:r>
        <w:rPr>
          <w:rFonts w:ascii="Liberation Serif" w:hAnsi="Liberation Serif"/>
          <w:sz w:val="24"/>
          <w:szCs w:val="24"/>
        </w:rPr>
        <w:t>РАСЧЕТА ЦЕЛЕВЫХ ПОКАЗАТЕЛЕЙ МУНИЦИПАЛЬНОЙ ПРОГРАММЫ</w:t>
      </w:r>
    </w:p>
    <w:p>
      <w:pPr>
        <w:pStyle w:val="ConsPlusTitle"/>
        <w:jc w:val="center"/>
        <w:rPr>
          <w:rFonts w:ascii="Liberation Serif" w:hAnsi="Liberation Serif"/>
          <w:sz w:val="24"/>
          <w:szCs w:val="24"/>
        </w:rPr>
      </w:pPr>
      <w:r>
        <w:rPr>
          <w:rFonts w:ascii="Liberation Serif" w:hAnsi="Liberation Serif"/>
          <w:sz w:val="24"/>
          <w:szCs w:val="24"/>
        </w:rPr>
        <w:t>«УПРАВЛЕНИЕ МУНИЦИПАЛЬНЫМИ ФИНАНСАМИ</w:t>
      </w:r>
    </w:p>
    <w:p>
      <w:pPr>
        <w:pStyle w:val="ConsPlusTitle"/>
        <w:jc w:val="center"/>
        <w:rPr>
          <w:rFonts w:ascii="Liberation Serif" w:hAnsi="Liberation Serif"/>
          <w:sz w:val="24"/>
          <w:szCs w:val="24"/>
        </w:rPr>
      </w:pPr>
      <w:r>
        <w:rPr>
          <w:rFonts w:ascii="Liberation Serif" w:hAnsi="Liberation Serif"/>
          <w:sz w:val="24"/>
          <w:szCs w:val="24"/>
        </w:rPr>
        <w:t>ТУГУЛЫМСКОГО МУНИЦИПАЛЬНОГО ОКРУГА ДО 2028 ГОДА»</w:t>
      </w:r>
    </w:p>
    <w:p>
      <w:pPr>
        <w:pStyle w:val="ConsPlusNormal"/>
        <w:spacing w:before="0" w:after="1"/>
        <w:rPr>
          <w:rFonts w:ascii="Liberation Serif" w:hAnsi="Liberation Serif"/>
          <w:sz w:val="24"/>
          <w:szCs w:val="24"/>
        </w:rPr>
      </w:pPr>
      <w:r>
        <w:rPr>
          <w:rFonts w:ascii="Liberation Serif" w:hAnsi="Liberation Serif"/>
          <w:sz w:val="24"/>
          <w:szCs w:val="24"/>
        </w:rPr>
      </w:r>
    </w:p>
    <w:p>
      <w:pPr>
        <w:pStyle w:val="ConsPlusNormal"/>
        <w:jc w:val="both"/>
        <w:rPr>
          <w:rFonts w:ascii="Liberation Serif" w:hAnsi="Liberation Serif"/>
          <w:sz w:val="24"/>
          <w:szCs w:val="24"/>
        </w:rPr>
      </w:pPr>
      <w:r>
        <w:rPr>
          <w:rFonts w:ascii="Liberation Serif" w:hAnsi="Liberation Serif"/>
          <w:sz w:val="24"/>
          <w:szCs w:val="24"/>
        </w:rPr>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Показатель 1.1.1.1. Темп роста объема налоговых и неналоговых доходов бюджета Тугулымского муниципального округа (в сопоставимых условиях).</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Значение показателя определяется по формуле: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jc w:val="center"/>
        <w:rPr>
          <w:rFonts w:ascii="Liberation Serif" w:hAnsi="Liberation Serif"/>
          <w:sz w:val="24"/>
          <w:szCs w:val="24"/>
        </w:rPr>
      </w:pPr>
      <w:r>
        <w:rPr>
          <w:rFonts w:cs="Times New Roman" w:ascii="Liberation Serif" w:hAnsi="Liberation Serif"/>
          <w:sz w:val="24"/>
          <w:szCs w:val="24"/>
        </w:rPr>
        <w:t>ТРдмб = Vдог / Vдпг (в уог) x 100, где: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ind w:firstLine="540"/>
        <w:jc w:val="both"/>
        <w:rPr>
          <w:rFonts w:ascii="Liberation Serif" w:hAnsi="Liberation Serif"/>
          <w:sz w:val="24"/>
          <w:szCs w:val="24"/>
        </w:rPr>
      </w:pPr>
      <w:r>
        <w:rPr>
          <w:rFonts w:cs="Times New Roman" w:ascii="Liberation Serif" w:hAnsi="Liberation Serif"/>
          <w:sz w:val="24"/>
          <w:szCs w:val="24"/>
        </w:rPr>
        <w:t>ТРдмб - темп роста налоговых и неналоговых доходов бюджета Тугулымского муниципального округа, процентов;</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Vдог - объем налоговых и неналоговых доходов бюджета Тугулымского муниципального округа за отчетный год (тыс. рублей);</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Vдпг (в уог) - объем налоговых и неналоговых доходов бюджета Тугулымского муниципального округа за год, предшествующий отчетному, в условиях отчетного года (тыс. рублей). Объем налоговых и неналоговых доходов бюджета Тугулымского муниципального округа за год, предшествующий отчетному, в условиях отчетного года определяется в сопоставимых нормативах зачисления налога на доходы физических лиц в бюджет муниципального округа.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Источник информации:</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 прогноз социально-экономического развития округа;</w:t>
      </w:r>
    </w:p>
    <w:p>
      <w:pPr>
        <w:pStyle w:val="ConsPlusNormal"/>
        <w:ind w:firstLine="540"/>
        <w:jc w:val="both"/>
        <w:rPr/>
      </w:pPr>
      <w:r>
        <w:rPr>
          <w:rFonts w:cs="Times New Roman" w:ascii="Liberation Serif" w:hAnsi="Liberation Serif"/>
          <w:sz w:val="24"/>
          <w:szCs w:val="24"/>
        </w:rPr>
        <w:t>- решение Думы об исполнении бюджета Тугулымского муниципального округа за отчетный год, отчет об исполнении бюджета Тугулымского муниципального округа за отчетный год (</w:t>
      </w:r>
      <w:hyperlink r:id="rId2">
        <w:r>
          <w:rPr>
            <w:rStyle w:val="Style9"/>
            <w:rFonts w:cs="Times New Roman" w:ascii="Liberation Serif" w:hAnsi="Liberation Serif"/>
            <w:color w:val="0000FF"/>
            <w:sz w:val="24"/>
            <w:szCs w:val="24"/>
          </w:rPr>
          <w:t>форма N 0503317</w:t>
        </w:r>
      </w:hyperlink>
      <w:r>
        <w:rPr>
          <w:rFonts w:cs="Times New Roman" w:ascii="Liberation Serif" w:hAnsi="Liberation Serif"/>
          <w:sz w:val="24"/>
          <w:szCs w:val="24"/>
        </w:rPr>
        <w:t xml:space="preserve"> Приказа Министерства финансов Российской Федерации от 28.12.2010г. N 191н (далее - Приказ Минфина России от 28.12.2010г. N 191н)).</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Показатель 1.1.1.2. Отклонение исполнения прогноза налоговых и неналоговых доходов бюджета Тугулымского муниципального                                                                                         округа.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Значение показателя определяется по формуле: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jc w:val="center"/>
        <w:rPr>
          <w:rFonts w:ascii="Liberation Serif" w:hAnsi="Liberation Serif"/>
          <w:sz w:val="24"/>
          <w:szCs w:val="24"/>
        </w:rPr>
      </w:pPr>
      <w:r>
        <w:rPr>
          <w:rFonts w:cs="Times New Roman" w:ascii="Liberation Serif" w:hAnsi="Liberation Serif"/>
          <w:sz w:val="24"/>
          <w:szCs w:val="24"/>
        </w:rPr>
        <w:t>ОИПд = Дф / Дп x 100% - 100%, где: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ОИПд - отклонение исполнения прогноза налоговых и неналоговых доходов бюджета Тугулымского муниципального округа (процентов);</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Дф - объем налоговых и неналоговых доходов бюджета Тугулымского муниципального округа, фактически поступивших за отчетный год (в соответствии с отчетом об исполнении бюджета Тугулымского муниципального округа) (тыс. рублей);</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Дп - прогноз объема налоговых и неналоговых доходов бюджета Тугулымского муниципального округа на отчетный год в соответствии с решением Думы о бюджете городского округа на очередной год и плановый период (тыс. рублей).</w:t>
      </w:r>
    </w:p>
    <w:p>
      <w:pPr>
        <w:pStyle w:val="ConsPlusNormal"/>
        <w:ind w:firstLine="540"/>
        <w:jc w:val="both"/>
        <w:rPr/>
      </w:pPr>
      <w:r>
        <w:rPr>
          <w:rFonts w:cs="Times New Roman" w:ascii="Liberation Serif" w:hAnsi="Liberation Serif"/>
          <w:sz w:val="24"/>
          <w:szCs w:val="24"/>
        </w:rPr>
        <w:t>Источник информации - решение Думы об исполнении бюджета Тугулымского муниципального округа за отчетный год, отчет об исполнении бюджета Тугулымского муниципального округа за отчетный год (</w:t>
      </w:r>
      <w:hyperlink r:id="rId3">
        <w:r>
          <w:rPr>
            <w:rStyle w:val="Style9"/>
            <w:rFonts w:cs="Times New Roman" w:ascii="Liberation Serif" w:hAnsi="Liberation Serif"/>
            <w:color w:val="0000FF"/>
            <w:sz w:val="24"/>
            <w:szCs w:val="24"/>
          </w:rPr>
          <w:t>форма N 0503317</w:t>
        </w:r>
      </w:hyperlink>
      <w:r>
        <w:rPr>
          <w:rFonts w:cs="Times New Roman" w:ascii="Liberation Serif" w:hAnsi="Liberation Serif"/>
          <w:sz w:val="24"/>
          <w:szCs w:val="24"/>
        </w:rPr>
        <w:t xml:space="preserve"> Приказа Минфина России от 28.12.2010г. N 191н).</w:t>
      </w:r>
    </w:p>
    <w:p>
      <w:pPr>
        <w:pStyle w:val="Normal"/>
        <w:ind w:firstLine="540"/>
        <w:jc w:val="both"/>
        <w:rPr>
          <w:rFonts w:ascii="Liberation Serif" w:hAnsi="Liberation Serif"/>
          <w:sz w:val="24"/>
          <w:szCs w:val="24"/>
        </w:rPr>
      </w:pPr>
      <w:r>
        <w:rPr>
          <w:rFonts w:ascii="Liberation Serif" w:hAnsi="Liberation Serif"/>
          <w:sz w:val="24"/>
          <w:szCs w:val="24"/>
        </w:rPr>
      </w:r>
    </w:p>
    <w:p>
      <w:pPr>
        <w:pStyle w:val="Normal"/>
        <w:ind w:firstLine="540"/>
        <w:jc w:val="both"/>
        <w:rPr>
          <w:rFonts w:ascii="Liberation Serif" w:hAnsi="Liberation Serif"/>
          <w:sz w:val="24"/>
          <w:szCs w:val="24"/>
        </w:rPr>
      </w:pPr>
      <w:r>
        <w:rPr>
          <w:rFonts w:ascii="Liberation Serif" w:hAnsi="Liberation Serif"/>
          <w:sz w:val="24"/>
          <w:szCs w:val="24"/>
        </w:rPr>
        <w:t xml:space="preserve">Показатель 1.1.1.3. Доля налоговых льгот (налоговых расходов), предоставленных решениями Думы Тугулымского муниципального округа о налогах, по которым проведена оценка их эффективности </w:t>
      </w:r>
    </w:p>
    <w:p>
      <w:pPr>
        <w:pStyle w:val="Normal"/>
        <w:ind w:firstLine="540"/>
        <w:jc w:val="both"/>
        <w:rPr>
          <w:rFonts w:ascii="Liberation Serif" w:hAnsi="Liberation Serif"/>
          <w:sz w:val="24"/>
          <w:szCs w:val="24"/>
        </w:rPr>
      </w:pPr>
      <w:r>
        <w:rPr>
          <w:rFonts w:ascii="Liberation Serif" w:hAnsi="Liberation Serif"/>
          <w:sz w:val="24"/>
          <w:szCs w:val="24"/>
        </w:rPr>
        <w:t>Значение показателя определяется по формуле:</w:t>
      </w:r>
    </w:p>
    <w:p>
      <w:pPr>
        <w:pStyle w:val="Normal"/>
        <w:numPr>
          <w:ilvl w:val="0"/>
          <w:numId w:val="0"/>
        </w:numPr>
        <w:jc w:val="both"/>
        <w:outlineLvl w:val="0"/>
        <w:rPr>
          <w:rFonts w:ascii="Liberation Serif" w:hAnsi="Liberation Serif"/>
          <w:sz w:val="24"/>
          <w:szCs w:val="24"/>
        </w:rPr>
      </w:pPr>
      <w:r>
        <w:rPr>
          <w:rFonts w:ascii="Liberation Serif" w:hAnsi="Liberation Serif"/>
          <w:sz w:val="24"/>
          <w:szCs w:val="24"/>
        </w:rPr>
      </w:r>
    </w:p>
    <w:p>
      <w:pPr>
        <w:pStyle w:val="Normal"/>
        <w:jc w:val="center"/>
        <w:rPr>
          <w:rFonts w:ascii="Liberation Serif" w:hAnsi="Liberation Serif"/>
          <w:sz w:val="24"/>
          <w:szCs w:val="24"/>
        </w:rPr>
      </w:pPr>
      <w:r>
        <w:rPr>
          <w:rFonts w:ascii="Liberation Serif" w:hAnsi="Liberation Serif"/>
          <w:sz w:val="24"/>
          <w:szCs w:val="24"/>
        </w:rPr>
        <w:t xml:space="preserve">Днл = </w:t>
      </w:r>
      <w:r>
        <w:rPr>
          <w:rFonts w:ascii="Liberation Serif" w:hAnsi="Liberation Serif"/>
          <w:sz w:val="24"/>
          <w:szCs w:val="24"/>
          <w:lang w:val="en-US"/>
        </w:rPr>
        <w:t>V</w:t>
      </w:r>
      <w:r>
        <w:rPr>
          <w:rFonts w:ascii="Liberation Serif" w:hAnsi="Liberation Serif"/>
          <w:sz w:val="24"/>
          <w:szCs w:val="24"/>
        </w:rPr>
        <w:t xml:space="preserve">оц / </w:t>
      </w:r>
      <w:r>
        <w:rPr>
          <w:rFonts w:ascii="Liberation Serif" w:hAnsi="Liberation Serif"/>
          <w:sz w:val="24"/>
          <w:szCs w:val="24"/>
          <w:lang w:val="en-US"/>
        </w:rPr>
        <w:t>V</w:t>
      </w:r>
      <w:r>
        <w:rPr>
          <w:rFonts w:ascii="Liberation Serif" w:hAnsi="Liberation Serif"/>
          <w:sz w:val="24"/>
          <w:szCs w:val="24"/>
        </w:rPr>
        <w:t>п x 100, где:</w:t>
      </w:r>
    </w:p>
    <w:p>
      <w:pPr>
        <w:pStyle w:val="Normal"/>
        <w:jc w:val="both"/>
        <w:rPr>
          <w:rFonts w:ascii="Liberation Serif" w:hAnsi="Liberation Serif"/>
          <w:sz w:val="24"/>
          <w:szCs w:val="24"/>
        </w:rPr>
      </w:pPr>
      <w:r>
        <w:rPr>
          <w:rFonts w:ascii="Liberation Serif" w:hAnsi="Liberation Serif"/>
          <w:sz w:val="24"/>
          <w:szCs w:val="24"/>
        </w:rPr>
      </w:r>
    </w:p>
    <w:p>
      <w:pPr>
        <w:pStyle w:val="Normal"/>
        <w:ind w:firstLine="540"/>
        <w:jc w:val="both"/>
        <w:rPr>
          <w:rFonts w:ascii="Liberation Serif" w:hAnsi="Liberation Serif"/>
          <w:sz w:val="24"/>
          <w:szCs w:val="24"/>
        </w:rPr>
      </w:pPr>
      <w:r>
        <w:rPr>
          <w:rFonts w:ascii="Liberation Serif" w:hAnsi="Liberation Serif"/>
          <w:sz w:val="24"/>
          <w:szCs w:val="24"/>
        </w:rPr>
        <w:t>Днг - Доля налоговых льгот (налоговых расходов), предоставленных решениями Думы Тугулымского муниципального округа о налогах, по которым проведена оценка их эффективности</w:t>
      </w:r>
    </w:p>
    <w:p>
      <w:pPr>
        <w:pStyle w:val="Normal"/>
        <w:ind w:firstLine="540"/>
        <w:jc w:val="both"/>
        <w:rPr>
          <w:rFonts w:ascii="Liberation Serif" w:hAnsi="Liberation Serif"/>
          <w:sz w:val="24"/>
          <w:szCs w:val="24"/>
        </w:rPr>
      </w:pPr>
      <w:r>
        <w:rPr>
          <w:rFonts w:ascii="Liberation Serif" w:hAnsi="Liberation Serif"/>
          <w:sz w:val="24"/>
          <w:szCs w:val="24"/>
        </w:rPr>
        <w:t xml:space="preserve"> </w:t>
      </w:r>
    </w:p>
    <w:p>
      <w:pPr>
        <w:pStyle w:val="Normal"/>
        <w:ind w:firstLine="540"/>
        <w:jc w:val="both"/>
        <w:rPr>
          <w:rFonts w:ascii="Liberation Serif" w:hAnsi="Liberation Serif"/>
          <w:sz w:val="24"/>
          <w:szCs w:val="24"/>
        </w:rPr>
      </w:pPr>
      <w:r>
        <w:rPr>
          <w:rFonts w:ascii="Liberation Serif" w:hAnsi="Liberation Serif"/>
          <w:sz w:val="24"/>
          <w:szCs w:val="24"/>
        </w:rPr>
        <w:t>Дф - объем налогов, по которым проведена оценка их эффективности</w:t>
      </w:r>
    </w:p>
    <w:p>
      <w:pPr>
        <w:pStyle w:val="Normal"/>
        <w:ind w:firstLine="540"/>
        <w:jc w:val="both"/>
        <w:rPr>
          <w:rFonts w:ascii="Liberation Serif" w:hAnsi="Liberation Serif"/>
          <w:sz w:val="24"/>
          <w:szCs w:val="24"/>
        </w:rPr>
      </w:pPr>
      <w:r>
        <w:rPr>
          <w:rFonts w:ascii="Liberation Serif" w:hAnsi="Liberation Serif"/>
          <w:sz w:val="24"/>
          <w:szCs w:val="24"/>
        </w:rPr>
        <w:t xml:space="preserve">Дп - объем налоговых льгот (налоговых расходов), предоставленных решениями Думы Тугулымского муниципального округа </w:t>
      </w:r>
    </w:p>
    <w:p>
      <w:pPr>
        <w:pStyle w:val="Normal"/>
        <w:ind w:firstLine="540"/>
        <w:jc w:val="both"/>
        <w:rPr>
          <w:rFonts w:ascii="Liberation Serif" w:hAnsi="Liberation Serif"/>
          <w:sz w:val="24"/>
          <w:szCs w:val="24"/>
        </w:rPr>
      </w:pPr>
      <w:r>
        <w:rPr>
          <w:rFonts w:ascii="Liberation Serif" w:hAnsi="Liberation Serif"/>
          <w:sz w:val="24"/>
          <w:szCs w:val="24"/>
        </w:rPr>
        <w:t>Источник информации - решение Думы об исполнении бюджета Тугулымского муниципального округа за отчетный год, отчет об исполнении бюджета Тугулымского муниципального округа за отчетный год, методические рекомендации Министерства финансов Российской Федерации по проведению оценки эффективности налоговых льгот (налоговых расходов) субъектов Российской Федерации.</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Показатель 1.1.1.4. Доля налоговых и неналоговых доходов бюджета Тугулымского муниципального округа, поступивших за счет реализации мер по повышению доходного потенциала Тугулымского муниципального округа, в общем объеме собственных доходов бюджета Тугулымского муниципального округа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Значение показателя определяется по формуле: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jc w:val="center"/>
        <w:rPr>
          <w:rFonts w:ascii="Liberation Serif" w:hAnsi="Liberation Serif"/>
          <w:sz w:val="24"/>
          <w:szCs w:val="24"/>
        </w:rPr>
      </w:pPr>
      <w:r>
        <w:rPr>
          <w:rFonts w:cs="Times New Roman" w:ascii="Liberation Serif" w:hAnsi="Liberation Serif"/>
          <w:sz w:val="24"/>
          <w:szCs w:val="24"/>
        </w:rPr>
        <w:t>Дннд = (Аi - Bi) / Ci x 100, где: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Аi - налоговые и неналоговые доходы;</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Bi - поступление налоговых доходов по дополнительным нормативам отчислений - объем доходов, передаваемых по установленным субъектом дополнительным нормативам отчислений от НДФЛ, рублей;</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Ci - объем собственных доходов бюджета без учета субвенций.</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Источники информации:</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1) решение Думы Тугулымского муниципального округа о бюджете городского округа на текущий финансовый год и плановый период;</w:t>
      </w:r>
    </w:p>
    <w:p>
      <w:pPr>
        <w:pStyle w:val="ConsPlusNormal"/>
        <w:ind w:firstLine="540"/>
        <w:jc w:val="both"/>
        <w:rPr/>
      </w:pPr>
      <w:r>
        <w:rPr>
          <w:rFonts w:cs="Times New Roman" w:ascii="Liberation Serif" w:hAnsi="Liberation Serif"/>
          <w:sz w:val="24"/>
          <w:szCs w:val="24"/>
        </w:rPr>
        <w:t>2) решение Думы об исполнении бюджета Тугулымского муниципального округа за отчетный год, отчет об исполнении бюджета Тугулымского муниципального округа за отчетный год (</w:t>
      </w:r>
      <w:hyperlink r:id="rId4">
        <w:r>
          <w:rPr>
            <w:rStyle w:val="Style9"/>
            <w:rFonts w:cs="Times New Roman" w:ascii="Liberation Serif" w:hAnsi="Liberation Serif"/>
            <w:color w:val="0000FF"/>
            <w:sz w:val="24"/>
            <w:szCs w:val="24"/>
          </w:rPr>
          <w:t>форма N 0503317</w:t>
        </w:r>
      </w:hyperlink>
      <w:r>
        <w:rPr>
          <w:rFonts w:cs="Times New Roman" w:ascii="Liberation Serif" w:hAnsi="Liberation Serif"/>
          <w:sz w:val="24"/>
          <w:szCs w:val="24"/>
        </w:rPr>
        <w:t xml:space="preserve"> Приказа Минфина России от 28.12.2010г. N 191н).</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Показатель 1.1.2.1. Отношение объема просроченной дебиторской задолженности по администрируемым доходам местного бюджета (без учета безвозмездных поступлений) по состоянию на 1 января года, следующего за отчетным финансовым годом, к аналогичному показателю на 1 января отчетного финансового года.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Значение показателя определяется по формуле: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jc w:val="center"/>
        <w:rPr>
          <w:rFonts w:ascii="Liberation Serif" w:hAnsi="Liberation Serif"/>
          <w:sz w:val="24"/>
          <w:szCs w:val="24"/>
        </w:rPr>
      </w:pPr>
      <w:r>
        <w:rPr>
          <w:rFonts w:cs="Times New Roman" w:ascii="Liberation Serif" w:hAnsi="Liberation Serif"/>
          <w:sz w:val="24"/>
          <w:szCs w:val="24"/>
        </w:rPr>
        <w:t>OVпдз = (Vпдз кнц / Vпдз нчл) x 100, где: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ind w:firstLine="540"/>
        <w:jc w:val="both"/>
        <w:rPr>
          <w:rFonts w:ascii="Liberation Serif" w:hAnsi="Liberation Serif"/>
          <w:sz w:val="24"/>
          <w:szCs w:val="24"/>
        </w:rPr>
      </w:pPr>
      <w:r>
        <w:rPr>
          <w:rFonts w:cs="Times New Roman" w:ascii="Liberation Serif" w:hAnsi="Liberation Serif"/>
          <w:sz w:val="24"/>
          <w:szCs w:val="24"/>
        </w:rPr>
        <w:t>OVпдз - отношение объема просроченной дебиторской задолженности по администрируемым доходам местного бюджета (без учета безвозмездных поступлений) по состоянию на 1 января года, следующего за отчетным финансовым годом, к аналогичному показателю на 1 января отчетного финансового года;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Vпдз кнц - объем просроченной дебиторской задолженности по администрируемым доходам местного бюджета (без учета безвозмездных поступлений) на 1 января года, следующего за отчетным финансовым годом (рублей);</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Vпдз нчл - объем просроченной дебиторской задолженности по администрируемым доходам местного бюджета (без учета безвозмездных поступлений) на 1 января отчетного финансового года (рублей).</w:t>
      </w:r>
    </w:p>
    <w:p>
      <w:pPr>
        <w:pStyle w:val="ConsPlusNormal"/>
        <w:ind w:firstLine="540"/>
        <w:jc w:val="both"/>
        <w:rPr/>
      </w:pPr>
      <w:r>
        <w:rPr>
          <w:rFonts w:cs="Times New Roman" w:ascii="Liberation Serif" w:hAnsi="Liberation Serif"/>
          <w:sz w:val="24"/>
          <w:szCs w:val="24"/>
        </w:rPr>
        <w:t>Источник информации - сведения по дебиторской и кредиторской задолженности (</w:t>
      </w:r>
      <w:hyperlink r:id="rId5">
        <w:r>
          <w:rPr>
            <w:rStyle w:val="Style9"/>
            <w:rFonts w:cs="Times New Roman" w:ascii="Liberation Serif" w:hAnsi="Liberation Serif"/>
            <w:color w:val="0000FF"/>
            <w:sz w:val="24"/>
            <w:szCs w:val="24"/>
          </w:rPr>
          <w:t>форма N 0503169</w:t>
        </w:r>
      </w:hyperlink>
      <w:r>
        <w:rPr>
          <w:rFonts w:cs="Times New Roman" w:ascii="Liberation Serif" w:hAnsi="Liberation Serif"/>
          <w:sz w:val="24"/>
          <w:szCs w:val="24"/>
        </w:rPr>
        <w:t xml:space="preserve"> к инструкции, утвержденной Приказом Минфина России от 28.12.2010г. N 191н) в составе годовой бюджетной отчетности об исполнении бюджета Тугулымского муниципального округа Финансового управления - главного администратора доходов бюджета Тугулымского муниципального округа.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Показатель 1.1.2.2. Отношение остатка невыясненных поступлений доходов, распределяемых органами Федерального казначейства между бюджетами бюджетной системы Российской Федерации, зачисляемых в местный бюджет, по которым администратором доходов – финансовым управлением на 1 января года, следующего за отчетным финансовым годом, не произведено уточнение вида и принадлежности платежа, к аналогичному показателю на 1 января отчетного финансового года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Значение показателя определяется по формуле: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jc w:val="center"/>
        <w:rPr>
          <w:rFonts w:ascii="Liberation Serif" w:hAnsi="Liberation Serif"/>
          <w:sz w:val="24"/>
          <w:szCs w:val="24"/>
        </w:rPr>
      </w:pPr>
      <w:r>
        <w:rPr>
          <w:rFonts w:cs="Times New Roman" w:ascii="Liberation Serif" w:hAnsi="Liberation Serif"/>
          <w:sz w:val="24"/>
          <w:szCs w:val="24"/>
        </w:rPr>
        <w:t>ООстНвп = (ОстНвп сг / ОстНвп ог) x 100, где: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ООстНвп - Отношение остатка невыясненных поступлений доходов, распределяемых органами Федерального казначейства между бюджетами бюджетной системы Российской Федерации, зачисляемых в местный бюджет, по которым администратором доходов – финансовым управлением на 1 января года, следующего за отчетным финансовым годом, не произведено уточнение вида и принадлежности платежа, к аналогичному показателю на 1 января отчетного финансового года (процентов);</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ОстНвп сг - сумма остатка невыясненных поступлений доходов, распределяемых органами Федерального казначейства между бюджетами бюджетной системы Российской Федерации, зачисляемых в местный бюджет, по которым администратором доходов – финансовым управлением на 1 января года, следующего за отчетным финансовым годом, не произведено уточнение вида и принадлежности платежа, к аналогичному показателю на 1 января отчетного финансового года и уточненных без нарушения срока (рублей);</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ОстНвп ог - сумма остатка невыясненных поступлений доходов, распределяемых органами Федерального казначейства между бюджетами бюджетной системы Российской Федерации, зачисляемых в местный бюджет, по которым администратором доходов – финансовым управлением на 1 января года, следующего за отчетным финансовым годом, не произведено уточнение вида и принадлежности платежа, к аналогичному показателю на 1 января отчетного финансового года, предшествующего отчетному финансовому году, и уточненных без нарушения срока (рублей).</w:t>
      </w:r>
    </w:p>
    <w:p>
      <w:pPr>
        <w:pStyle w:val="ConsPlusNormal"/>
        <w:ind w:firstLine="540"/>
        <w:jc w:val="both"/>
        <w:rPr/>
      </w:pPr>
      <w:r>
        <w:rPr>
          <w:rFonts w:cs="Times New Roman" w:ascii="Liberation Serif" w:hAnsi="Liberation Serif"/>
          <w:sz w:val="24"/>
          <w:szCs w:val="24"/>
        </w:rPr>
        <w:t>Источник информации - сведения по дебиторской и кредиторской задолженности (</w:t>
      </w:r>
      <w:hyperlink r:id="rId6">
        <w:r>
          <w:rPr>
            <w:rStyle w:val="Style9"/>
            <w:rFonts w:cs="Times New Roman" w:ascii="Liberation Serif" w:hAnsi="Liberation Serif"/>
            <w:color w:val="0000FF"/>
            <w:sz w:val="24"/>
            <w:szCs w:val="24"/>
          </w:rPr>
          <w:t>форма N 0503169</w:t>
        </w:r>
      </w:hyperlink>
      <w:r>
        <w:rPr>
          <w:rFonts w:cs="Times New Roman" w:ascii="Liberation Serif" w:hAnsi="Liberation Serif"/>
          <w:sz w:val="24"/>
          <w:szCs w:val="24"/>
        </w:rPr>
        <w:t xml:space="preserve"> к инструкции, утвержденной Приказом Минфина России от 28.12.2010г. N 191н) в составе годовой бюджетной отчетности об исполнении бюджета Тугулымского муниципального округа Финансовым управлением - главного администратора доходов бюджета Тугулымского муниципального округа.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Показатель 1.1.2.3. Полнота и актуальность перечня кодов классификации доходов бюджетов, закрепленных за главными администраторами доходов местного бюджета.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Значение показателя определяется по формуле: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jc w:val="center"/>
        <w:rPr>
          <w:rFonts w:ascii="Liberation Serif" w:hAnsi="Liberation Serif"/>
          <w:sz w:val="24"/>
          <w:szCs w:val="24"/>
        </w:rPr>
      </w:pPr>
      <w:r>
        <w:rPr>
          <w:rFonts w:cs="Times New Roman" w:ascii="Liberation Serif" w:hAnsi="Liberation Serif"/>
          <w:sz w:val="24"/>
          <w:szCs w:val="24"/>
        </w:rPr>
        <w:t>П КБКд = Зоб + П МФРФ + П ГАДб, где: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П КБКд - полнота и актуальность перечня кодов классификации доходов бюджетов, закрепленных за главными администраторами доходов местного бюджета (процентов);</w:t>
      </w:r>
    </w:p>
    <w:p>
      <w:pPr>
        <w:pStyle w:val="ConsPlusNormal"/>
        <w:ind w:firstLine="540"/>
        <w:jc w:val="both"/>
        <w:rPr/>
      </w:pPr>
      <w:r>
        <w:rPr>
          <w:rFonts w:cs="Times New Roman" w:ascii="Liberation Serif" w:hAnsi="Liberation Serif"/>
          <w:sz w:val="24"/>
          <w:szCs w:val="24"/>
        </w:rPr>
        <w:t xml:space="preserve">Зоб - соответствие информации, содержащейся в перечне кодов классификации доходов бюджетов, закрепленных за главными администраторами доходов местного бюджета, </w:t>
      </w:r>
      <w:hyperlink r:id="rId7">
        <w:r>
          <w:rPr>
            <w:rStyle w:val="Style9"/>
            <w:rFonts w:cs="Times New Roman" w:ascii="Liberation Serif" w:hAnsi="Liberation Serif"/>
            <w:color w:val="0000FF"/>
            <w:sz w:val="24"/>
            <w:szCs w:val="24"/>
          </w:rPr>
          <w:t>Перечню</w:t>
        </w:r>
      </w:hyperlink>
      <w:r>
        <w:rPr>
          <w:rFonts w:cs="Times New Roman" w:ascii="Liberation Serif" w:hAnsi="Liberation Serif"/>
          <w:sz w:val="24"/>
          <w:szCs w:val="24"/>
        </w:rPr>
        <w:t xml:space="preserve"> главных администраторов доходов местного бюджета, </w:t>
      </w:r>
      <w:r>
        <w:rPr>
          <w:rFonts w:cs="Times New Roman" w:ascii="Liberation Serif" w:hAnsi="Liberation Serif"/>
          <w:color w:val="000000"/>
          <w:sz w:val="24"/>
          <w:szCs w:val="24"/>
        </w:rPr>
        <w:t>утвержденному Постановлением администрации Тугулымского муниципального округа от 27.12.2022г. N 498 (процентов);</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П МФРФ - соответствие информации, содержащейся в перечне кодов классификации доходов бюджетов, закрепленных за главными администраторами доходов бюджета, порядку формирования и применения кодов бюджетной классификации Российской Федерации (процентов);</w:t>
      </w:r>
    </w:p>
    <w:p>
      <w:pPr>
        <w:pStyle w:val="ConsPlusNormal"/>
        <w:ind w:firstLine="540"/>
        <w:jc w:val="both"/>
        <w:rPr/>
      </w:pPr>
      <w:r>
        <w:rPr>
          <w:rFonts w:cs="Times New Roman" w:ascii="Liberation Serif" w:hAnsi="Liberation Serif"/>
          <w:sz w:val="24"/>
          <w:szCs w:val="24"/>
        </w:rPr>
        <w:t xml:space="preserve">П ГАДб - соответствие информации, содержащейся в приказах главных администраторов (администраторов) доходов бюджета, перечню кодов классификации доходов бюджетов, закрепленных за главными администраторами доходов бюджета, </w:t>
      </w:r>
      <w:hyperlink r:id="rId8">
        <w:r>
          <w:rPr>
            <w:rStyle w:val="Style9"/>
            <w:rFonts w:cs="Times New Roman" w:ascii="Liberation Serif" w:hAnsi="Liberation Serif"/>
            <w:color w:val="0000FF"/>
            <w:sz w:val="24"/>
            <w:szCs w:val="24"/>
          </w:rPr>
          <w:t>Перечню</w:t>
        </w:r>
      </w:hyperlink>
      <w:r>
        <w:rPr>
          <w:rFonts w:cs="Times New Roman" w:ascii="Liberation Serif" w:hAnsi="Liberation Serif"/>
          <w:sz w:val="24"/>
          <w:szCs w:val="24"/>
        </w:rPr>
        <w:t xml:space="preserve"> главных администраторов доходов местного бюджета</w:t>
      </w:r>
      <w:r>
        <w:rPr>
          <w:rFonts w:cs="Times New Roman" w:ascii="Liberation Serif" w:hAnsi="Liberation Serif"/>
          <w:color w:val="FF0000"/>
          <w:sz w:val="24"/>
          <w:szCs w:val="24"/>
        </w:rPr>
        <w:t xml:space="preserve">, </w:t>
      </w:r>
      <w:r>
        <w:rPr>
          <w:rFonts w:cs="Times New Roman" w:ascii="Liberation Serif" w:hAnsi="Liberation Serif"/>
          <w:color w:val="000000"/>
          <w:sz w:val="24"/>
          <w:szCs w:val="24"/>
        </w:rPr>
        <w:t xml:space="preserve">утвержденному Постановлением администрации Тугулымского муниципального округа от 27.12.2022г. N 498 </w:t>
      </w:r>
      <w:r>
        <w:rPr>
          <w:rFonts w:cs="Times New Roman" w:ascii="Liberation Serif" w:hAnsi="Liberation Serif"/>
          <w:sz w:val="24"/>
          <w:szCs w:val="24"/>
        </w:rPr>
        <w:t>и порядку формирования и применения кодов бюджетной классификации Российской Федерации (процентов).</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При этом удельный вес показателей при их исполнении составит: Зоб - 40%; П МФРФ - 40%; П ГАДб - 20%.</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Источники информации:</w:t>
      </w:r>
    </w:p>
    <w:p>
      <w:pPr>
        <w:pStyle w:val="Normal"/>
        <w:jc w:val="both"/>
        <w:rPr>
          <w:rFonts w:ascii="Liberation Serif" w:hAnsi="Liberation Serif"/>
          <w:sz w:val="24"/>
          <w:szCs w:val="24"/>
        </w:rPr>
      </w:pPr>
      <w:r>
        <w:rPr>
          <w:rFonts w:ascii="Liberation Serif" w:hAnsi="Liberation Serif"/>
          <w:color w:val="000000"/>
          <w:sz w:val="24"/>
          <w:szCs w:val="24"/>
        </w:rPr>
        <w:t>1) Постановление администрации Тугулымского муниципального округа от 27.12.2022г. N 498</w:t>
      </w:r>
      <w:r>
        <w:rPr>
          <w:rFonts w:ascii="Liberation Serif" w:hAnsi="Liberation Serif"/>
          <w:b/>
          <w:bCs/>
          <w:sz w:val="24"/>
          <w:szCs w:val="24"/>
        </w:rPr>
        <w:t xml:space="preserve"> «</w:t>
      </w:r>
      <w:r>
        <w:rPr>
          <w:rFonts w:ascii="Liberation Serif" w:hAnsi="Liberation Serif"/>
          <w:bCs/>
          <w:sz w:val="24"/>
          <w:szCs w:val="24"/>
        </w:rPr>
        <w:t>Об утверждении перечней главных администраторов доходов и источников финансирования дефицита бюджета, порядка и сроков внесения изменений в перечень главных администраторов доходов, источников финансирования дефицита бюджета Тугулымского городского округа»</w:t>
      </w:r>
      <w:r>
        <w:rPr>
          <w:rFonts w:ascii="Liberation Serif" w:hAnsi="Liberation Serif"/>
          <w:color w:val="000000"/>
          <w:sz w:val="24"/>
          <w:szCs w:val="24"/>
        </w:rPr>
        <w:t>;</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2) порядок формирования и применения кодов бюджетной классификации Российской Федерации.</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Показатель 2.2.1.1. Полное и своевременное исполнение полномочий финансового органа в части планирования и организации исполнения местного бюджета.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Значение показателя определяется по формуле: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jc w:val="center"/>
        <w:rPr>
          <w:rFonts w:ascii="Liberation Serif" w:hAnsi="Liberation Serif"/>
          <w:sz w:val="24"/>
          <w:szCs w:val="24"/>
        </w:rPr>
      </w:pPr>
      <w:r>
        <w:rPr>
          <w:rFonts w:ascii="Liberation Serif" w:hAnsi="Liberation Serif"/>
          <w:sz w:val="24"/>
          <w:szCs w:val="24"/>
        </w:rPr>
        <w:drawing>
          <wp:inline distT="0" distB="0" distL="0" distR="0">
            <wp:extent cx="1638300" cy="514350"/>
            <wp:effectExtent l="0" t="0" r="0" b="0"/>
            <wp:docPr id="1" name="Консультант Плю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Консультант Плюс"/>
                    <pic:cNvPicPr>
                      <a:picLocks noChangeAspect="1" noChangeArrowheads="1"/>
                    </pic:cNvPicPr>
                  </pic:nvPicPr>
                  <pic:blipFill>
                    <a:blip r:embed="rId9"/>
                    <a:stretch>
                      <a:fillRect/>
                    </a:stretch>
                  </pic:blipFill>
                  <pic:spPr bwMode="auto">
                    <a:xfrm>
                      <a:off x="0" y="0"/>
                      <a:ext cx="1638300" cy="514350"/>
                    </a:xfrm>
                    <a:prstGeom prst="rect">
                      <a:avLst/>
                    </a:prstGeom>
                    <a:noFill/>
                  </pic:spPr>
                </pic:pic>
              </a:graphicData>
            </a:graphic>
          </wp:inline>
        </w:drawing>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П - полное и своевременное исполнение полномочий финансового органа в части планирования и организации исполнения бюджета Тугулымского муниципального округа (процентов);</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N - общее количество показателей исполнения полномочий финансового органа в части планирования и организации исполнения бюджета Тугулымского муниципального округа;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Аi - фактическое значение показателя исполнения полномочий финансового органа в части планирования и организации исполнения бюджета Тугулымского муниципального округа (определяется по шкале: выполнено - 1, не выполнено - 0).</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При определении фактического значения показателя учитывается выполнение следующих полномочий финансового органа в части планирования и организации исполнения бюджета Тугулымского муниципального округа: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1) своевременное внесение проекта решения Думы Тугулымского муниципального округа о бюджете на очередной финансовый год и плановый период на рассмотрение администрации Тугулымского муниципального округа;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2) своевременное внесение проекта закона об исполнении бюджета Тугулымского муниципального округа за отчетный финансовый год на рассмотрение администрации Тугулымского муниципального округа;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3) соответствие порядка составления и ведения сводной бюджетной росписи бюджета Тугулымского муниципального округа бюджетному законодательству;</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4) соответствие порядка составления и ведения бюджетных росписей главных распорядителей средств бюджета Тугулымского муниципального округа (главных администраторов источников финансирования дефицита бюджета Тугулымского муниципального округа) бюджетному законодательству;</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5) соответствие порядка составления и ведения кассового плана, утверждения и доведения до главных распорядителей средств бюджета Тугулымского муниципального округа предельных объемов финансирования бюджетному законодательству;</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6) своевременное утверждение сводной бюджетной росписи бюджета Тугулымского муниципального округа, лимитов бюджетных обязательств и доведение утвержденных бюджетных ассигнований и лимитов бюджетных обязательств до главных распорядителей средств бюджета Тугулымского муниципального округа (главных администраторов источников финансирования дефицита бюджета Тугулымского муниципального округа);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7) утверждение и доведение до главных распорядителей средств бюджета Тугулымского муниципального округа предельных объемов финансирования в сроки, установленные бюджетным законодательством;</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8) своевременное составление и представление в Министерство финансов Свердловской области реестра расходных обязательств Тугулымского муниципального округа;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9) соблюдение порядка исполнения бюджета Тугулымского муниципального округа по расходам;</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10) своевременное внесение изменений в перечень главных администраторов источников финансирования дефицита бюджета Тугулымского муниципального округа, а также в состав закрепленных за ними кодов классификации источников финансирования дефицита бюджета в случаях, предусмотренных законодательством;</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11) установление порядка исполнения бюджета Тугулымского муниципального округа по источникам финансирования дефицита бюджета Тугулымского муниципального округа;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12) установление состава, порядка и срока передачи информации о долговых обязательствах муниципального образования, отражаемых в муниципальной долговой книге.</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Значения показателя определяются в соответствии с требованиями:</w:t>
      </w:r>
    </w:p>
    <w:p>
      <w:pPr>
        <w:pStyle w:val="ConsPlusNormal"/>
        <w:ind w:firstLine="540"/>
        <w:jc w:val="both"/>
        <w:rPr/>
      </w:pPr>
      <w:r>
        <w:rPr>
          <w:rFonts w:cs="Times New Roman" w:ascii="Liberation Serif" w:hAnsi="Liberation Serif"/>
          <w:sz w:val="24"/>
          <w:szCs w:val="24"/>
        </w:rPr>
        <w:t xml:space="preserve">1) Бюджетного </w:t>
      </w:r>
      <w:hyperlink r:id="rId10">
        <w:r>
          <w:rPr>
            <w:rStyle w:val="Style9"/>
            <w:rFonts w:cs="Times New Roman" w:ascii="Liberation Serif" w:hAnsi="Liberation Serif"/>
            <w:color w:val="0000FF"/>
            <w:sz w:val="24"/>
            <w:szCs w:val="24"/>
          </w:rPr>
          <w:t>кодекса</w:t>
        </w:r>
      </w:hyperlink>
      <w:r>
        <w:rPr>
          <w:rFonts w:cs="Times New Roman" w:ascii="Liberation Serif" w:hAnsi="Liberation Serif"/>
          <w:sz w:val="24"/>
          <w:szCs w:val="24"/>
        </w:rPr>
        <w:t xml:space="preserve"> Российской Федерации;</w:t>
      </w:r>
    </w:p>
    <w:p>
      <w:pPr>
        <w:pStyle w:val="ConsPlusNormal"/>
        <w:ind w:firstLine="540"/>
        <w:jc w:val="both"/>
        <w:rPr/>
      </w:pPr>
      <w:r>
        <w:rPr>
          <w:rFonts w:cs="Times New Roman" w:ascii="Liberation Serif" w:hAnsi="Liberation Serif"/>
          <w:sz w:val="24"/>
          <w:szCs w:val="24"/>
        </w:rPr>
        <w:t xml:space="preserve">2) </w:t>
      </w:r>
      <w:hyperlink r:id="rId11">
        <w:r>
          <w:rPr>
            <w:rStyle w:val="Style9"/>
            <w:rFonts w:cs="Times New Roman" w:ascii="Liberation Serif" w:hAnsi="Liberation Serif"/>
            <w:color w:val="0000FF"/>
            <w:sz w:val="24"/>
            <w:szCs w:val="24"/>
          </w:rPr>
          <w:t>Приказа</w:t>
        </w:r>
      </w:hyperlink>
      <w:r>
        <w:rPr>
          <w:rFonts w:cs="Times New Roman" w:ascii="Liberation Serif" w:hAnsi="Liberation Serif"/>
          <w:sz w:val="24"/>
          <w:szCs w:val="24"/>
        </w:rPr>
        <w:t xml:space="preserve"> Министерства финансов Российской Федерации от 03.03.2022г. N 34н «Об утверждении Порядка представления реестров расходных обязательств субъектов Российской Федерации, сводов реестров расходных обязательств муниципальных образований, входящих в состав субъекта Российской Федерации»;</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3) Решения Думы Тугулымского муниципального округа Свердловской области от 31.01.2025 г. №2 «Об утверждении Положения о бюджетном процессе в Тугулымском муниципальном округе Свердловской области»</w:t>
      </w:r>
      <w:r>
        <w:rPr>
          <w:rFonts w:cs="Times New Roman" w:ascii="Liberation Serif" w:hAnsi="Liberation Serif"/>
          <w:color w:val="FF0000"/>
          <w:sz w:val="24"/>
          <w:szCs w:val="24"/>
        </w:rPr>
        <w:t>;</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4) Постановления администрации Тугулымского муниципального округа «Об утверждении плана мероприятий по составлению проекта бюджета Тугулымского муниципального округа на очередной финансовый год и плановый период»;</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 xml:space="preserve">5) </w:t>
      </w:r>
      <w:r>
        <w:rPr>
          <w:rFonts w:cs="Times New Roman" w:ascii="Liberation Serif" w:hAnsi="Liberation Serif"/>
          <w:color w:val="000000"/>
          <w:sz w:val="24"/>
          <w:szCs w:val="24"/>
        </w:rPr>
        <w:t>Приказа Финансового управления от 18.07.2024г. N 74 «Об утверждении порядка исполнения местного бюджета по расходам»;</w:t>
      </w:r>
    </w:p>
    <w:p>
      <w:pPr>
        <w:pStyle w:val="ConsPlusTitle"/>
        <w:widowControl/>
        <w:numPr>
          <w:ilvl w:val="0"/>
          <w:numId w:val="0"/>
        </w:numPr>
        <w:jc w:val="both"/>
        <w:outlineLvl w:val="0"/>
        <w:rPr>
          <w:rFonts w:ascii="Liberation Serif" w:hAnsi="Liberation Serif"/>
          <w:sz w:val="24"/>
          <w:szCs w:val="24"/>
        </w:rPr>
      </w:pPr>
      <w:r>
        <w:rPr>
          <w:rFonts w:ascii="Liberation Serif" w:hAnsi="Liberation Serif"/>
          <w:b w:val="false"/>
          <w:color w:val="FF0000"/>
          <w:sz w:val="24"/>
          <w:szCs w:val="24"/>
        </w:rPr>
        <w:t xml:space="preserve">         </w:t>
      </w:r>
      <w:r>
        <w:rPr>
          <w:rFonts w:ascii="Liberation Serif" w:hAnsi="Liberation Serif"/>
          <w:b w:val="false"/>
          <w:color w:val="000000"/>
          <w:sz w:val="24"/>
          <w:szCs w:val="24"/>
        </w:rPr>
        <w:t>6) Приказа Финансового управления от 14.02.2025г. N 10 «Об утверждении Порядка составления и ведения сводной бюджетной росписи местного бюджета»;</w:t>
      </w:r>
    </w:p>
    <w:p>
      <w:pPr>
        <w:pStyle w:val="ConsPlusNormal"/>
        <w:ind w:firstLine="540"/>
        <w:jc w:val="both"/>
        <w:rPr/>
      </w:pPr>
      <w:r>
        <w:rPr>
          <w:rFonts w:cs="Times New Roman" w:ascii="Liberation Serif" w:hAnsi="Liberation Serif"/>
          <w:color w:val="000000"/>
          <w:sz w:val="24"/>
          <w:szCs w:val="24"/>
        </w:rPr>
        <w:t xml:space="preserve">7) Приказа Финансового управления от 27.12.2025г. N 72 «Об утверждении </w:t>
      </w:r>
      <w:hyperlink w:anchor="P30">
        <w:r>
          <w:rPr>
            <w:rStyle w:val="Style9"/>
            <w:rFonts w:cs="Times New Roman" w:ascii="Liberation Serif" w:hAnsi="Liberation Serif"/>
            <w:color w:val="000000"/>
            <w:sz w:val="24"/>
            <w:szCs w:val="24"/>
          </w:rPr>
          <w:t>Порядк</w:t>
        </w:r>
      </w:hyperlink>
      <w:r>
        <w:rPr>
          <w:rFonts w:cs="Times New Roman" w:ascii="Liberation Serif" w:hAnsi="Liberation Serif"/>
          <w:color w:val="000000"/>
          <w:sz w:val="24"/>
          <w:szCs w:val="24"/>
        </w:rPr>
        <w:t>а учета бюджетных обязательств получателей средств бюджета Тугулымского муниципального округа».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Показатель 2.2.1.2. Полнота формирования и представления бюджетной отчетности с соблюдением требований, установленных бюджетным законодательством.</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Значение показателя определяется по формуле: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jc w:val="center"/>
        <w:rPr>
          <w:rFonts w:ascii="Liberation Serif" w:hAnsi="Liberation Serif"/>
          <w:sz w:val="24"/>
          <w:szCs w:val="24"/>
        </w:rPr>
      </w:pPr>
      <w:r>
        <w:rPr>
          <w:rFonts w:cs="Times New Roman" w:ascii="Liberation Serif" w:hAnsi="Liberation Serif"/>
          <w:sz w:val="24"/>
          <w:szCs w:val="24"/>
        </w:rPr>
        <w:t>Пф = Оп / Од x 100, где: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Пф - полнота формирования и представления бюджетной отчетности с соблюдением требований, установленных бюджетным законодательством (проценты);</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Оп - состав бюджетной отчетности, представленный в Министерство финансов Свердловской области в соответствии с требованиями Министерства финансов Российской Федерации;</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Од - состав бюджетной отчетности, доведенный Финансовым управлением в соответствии с бюджетным законодательством.</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Источники информации:</w:t>
      </w:r>
    </w:p>
    <w:p>
      <w:pPr>
        <w:pStyle w:val="ConsPlusNormal"/>
        <w:ind w:firstLine="540"/>
        <w:jc w:val="both"/>
        <w:rPr/>
      </w:pPr>
      <w:r>
        <w:rPr>
          <w:rFonts w:cs="Times New Roman" w:ascii="Liberation Serif" w:hAnsi="Liberation Serif"/>
          <w:sz w:val="24"/>
          <w:szCs w:val="24"/>
        </w:rPr>
        <w:t xml:space="preserve">1) </w:t>
      </w:r>
      <w:hyperlink r:id="rId12">
        <w:r>
          <w:rPr>
            <w:rStyle w:val="Style9"/>
            <w:rFonts w:cs="Times New Roman" w:ascii="Liberation Serif" w:hAnsi="Liberation Serif"/>
            <w:color w:val="0000FF"/>
            <w:sz w:val="24"/>
            <w:szCs w:val="24"/>
          </w:rPr>
          <w:t>Приказ</w:t>
        </w:r>
      </w:hyperlink>
      <w:r>
        <w:rPr>
          <w:rFonts w:cs="Times New Roman" w:ascii="Liberation Serif" w:hAnsi="Liberation Serif"/>
          <w:sz w:val="24"/>
          <w:szCs w:val="24"/>
        </w:rPr>
        <w:t xml:space="preserve"> Минфина России от 28.12.2010г. N 191н;</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2) Приказ Министерства финансов Свердловской области о сроках представления годовой отчетности об исполнении бюджетов за отчетный финансовый год и сроках представления месячной, квартальной отчетности в текущем финансовом году;</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3) отчет об исполнении бюджета Тугулымского муниципального округа за отчетный финансовый год.</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Показатель 2.2.1.3. Доля своевременно открытых лицевых счетов для учета операций по исполнению местного бюджета и не участников бюджетного процесса и проведения кассовых операций со средствами на лицевых счетах не участников бюджетного процесса.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Значение показателя определяется по формуле: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jc w:val="center"/>
        <w:rPr>
          <w:rFonts w:ascii="Liberation Serif" w:hAnsi="Liberation Serif"/>
          <w:sz w:val="24"/>
          <w:szCs w:val="24"/>
        </w:rPr>
      </w:pPr>
      <w:r>
        <w:rPr>
          <w:rFonts w:cs="Times New Roman" w:ascii="Liberation Serif" w:hAnsi="Liberation Serif"/>
          <w:sz w:val="24"/>
          <w:szCs w:val="24"/>
        </w:rPr>
        <w:t>Дсво = (Vсво / Vо) x 100, где: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Дсво - доля своевременно открытых лицевых счетов для учета операций по исполнению бюджета Тугулымского муниципального округа и не участников бюджетного процесса и проведения кассовых операций со средствами на лицевых счетах не участников бюджетного процесса;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Vсво - количество своевременно открытых лицевых счетов получателей средств бюджета Тугулымского муниципального округа и неучастников бюджетного процесса;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Vо - общее количество открытых лицевых счетов получателей средств бюджета Тугулымского муниципального округа и не участников бюджетного процесса.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Источник информации - разделы «Документы» и «Отчеты» программного комплекса «Бюджет – СМАРТ».</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Показатель 2.2.1.4. Исполнение судебных актов по искам к Тугулымскому муниципальному округу, предусматривающие обращение взыскания на средства казны Тугулымского муниципального округа, о возмещении вреда, причиненного гражданину или юридическому лицу в результате незаконных действий (бездействия) органов местного самоуправления либо должностных лиц этих органов, и о присуждении компенсации за нарушение права на исполнение судебного акта в течение трех месяцев со дня поступления исполнительных документов на исполнение.</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Значение показателя определяется по формуле: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jc w:val="center"/>
        <w:rPr>
          <w:rFonts w:ascii="Liberation Serif" w:hAnsi="Liberation Serif"/>
          <w:sz w:val="24"/>
          <w:szCs w:val="24"/>
        </w:rPr>
      </w:pPr>
      <w:r>
        <w:rPr>
          <w:rFonts w:cs="Times New Roman" w:ascii="Liberation Serif" w:hAnsi="Liberation Serif"/>
          <w:sz w:val="24"/>
          <w:szCs w:val="24"/>
        </w:rPr>
        <w:t>Иса</w:t>
      </w:r>
      <w:r>
        <w:rPr>
          <w:rFonts w:cs="Times New Roman" w:ascii="Liberation Serif" w:hAnsi="Liberation Serif"/>
          <w:sz w:val="24"/>
          <w:szCs w:val="24"/>
          <w:lang w:val="en-US"/>
        </w:rPr>
        <w:t>(i) = (</w:t>
      </w:r>
      <w:r>
        <w:rPr>
          <w:rFonts w:cs="Times New Roman" w:ascii="Liberation Serif" w:hAnsi="Liberation Serif"/>
          <w:sz w:val="24"/>
          <w:szCs w:val="24"/>
        </w:rPr>
        <w:t>Ксаи</w:t>
      </w:r>
      <w:r>
        <w:rPr>
          <w:rFonts w:cs="Times New Roman" w:ascii="Liberation Serif" w:hAnsi="Liberation Serif"/>
          <w:sz w:val="24"/>
          <w:szCs w:val="24"/>
          <w:lang w:val="en-US"/>
        </w:rPr>
        <w:t xml:space="preserve">(i) / </w:t>
      </w:r>
      <w:r>
        <w:rPr>
          <w:rFonts w:cs="Times New Roman" w:ascii="Liberation Serif" w:hAnsi="Liberation Serif"/>
          <w:sz w:val="24"/>
          <w:szCs w:val="24"/>
        </w:rPr>
        <w:t>Ксао</w:t>
      </w:r>
      <w:r>
        <w:rPr>
          <w:rFonts w:cs="Times New Roman" w:ascii="Liberation Serif" w:hAnsi="Liberation Serif"/>
          <w:sz w:val="24"/>
          <w:szCs w:val="24"/>
          <w:lang w:val="en-US"/>
        </w:rPr>
        <w:t xml:space="preserve">(i)), </w:t>
      </w:r>
      <w:r>
        <w:rPr>
          <w:rFonts w:cs="Times New Roman" w:ascii="Liberation Serif" w:hAnsi="Liberation Serif"/>
          <w:sz w:val="24"/>
          <w:szCs w:val="24"/>
        </w:rPr>
        <w:t>где</w:t>
      </w:r>
      <w:r>
        <w:rPr>
          <w:rFonts w:cs="Times New Roman" w:ascii="Liberation Serif" w:hAnsi="Liberation Serif"/>
          <w:sz w:val="24"/>
          <w:szCs w:val="24"/>
          <w:lang w:val="en-US"/>
        </w:rPr>
        <w:t>:</w:t>
      </w:r>
    </w:p>
    <w:p>
      <w:pPr>
        <w:pStyle w:val="ConsPlusNormal"/>
        <w:jc w:val="both"/>
        <w:rPr>
          <w:rFonts w:ascii="Liberation Serif" w:hAnsi="Liberation Serif" w:cs="Times New Roman"/>
          <w:sz w:val="24"/>
          <w:szCs w:val="24"/>
          <w:lang w:val="en-US"/>
        </w:rPr>
      </w:pPr>
      <w:r>
        <w:rPr>
          <w:rFonts w:cs="Times New Roman" w:ascii="Liberation Serif" w:hAnsi="Liberation Serif"/>
          <w:sz w:val="24"/>
          <w:szCs w:val="24"/>
          <w:lang w:val="en-US"/>
        </w:rPr>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Иса(i) - доля судебных актов по искам к Тугулымскому  муниципальному округу о возмещении вреда, причиненного гражданину или юридическому лицу в результате незаконных действий (бездействия) органов местного самоуправления Тугулымского муниципального округа либо должностных лиц этих органов, и о присуждении компенсации за нарушение права на исполнение судебного акта, исполненных в течение трех месяцев со дня поступления исполнительных документов на исполнение в i-м году (процентов);</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Ксаи(i) - количество судебных актов по искам к Тугулымскому  муниципальному округу о возмещении вреда, причиненного гражданину или юридическому лицу в результате незаконных действий (бездействия) органов местного самоуправления Тугулымского муниципального округа либо должностных лиц этих органов, и о присуждении компенсации за нарушение права на исполнение судебного акта, исполненных в течение трех месяцев со дня поступления исполнительных документов на исполнение в i-м году;</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Ксао(i) - общее количество судебных актов по искам к Тугулымскому  муниципальному округу о возмещении вреда, причиненного гражданину или юридическому лицу в результате незаконных действий (бездействия) органов местного самоуправления Тугулымского  муниципального округа либо должностных лиц этих органов, и о присуждении компенсации за нарушение права на исполнение судебного акта, подлежащих исполнению в i-м году.</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Источник информации - электронный журнал регистрации сведений о поступивших исполнительных документах, предусматривающих обращения взыскателя на средства бюджета Тугулымского  муниципального округа и их исполнении в Финансовом управлении. Форма электронного журнала установлена порядком ведения учета и хранения Финансовым управлением исполнительных документов, утвержденным приказом Финансового управления.</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Показатель 2.2.2.1. Степень качества управления финансами Тугулымского  муниципального округа, определяемая в соответствии с Постановлением Правительства Свердловской области.</w:t>
      </w:r>
    </w:p>
    <w:p>
      <w:pPr>
        <w:pStyle w:val="ConsPlusNormal"/>
        <w:ind w:firstLine="540"/>
        <w:jc w:val="both"/>
        <w:rPr/>
      </w:pPr>
      <w:r>
        <w:rPr>
          <w:rFonts w:cs="Times New Roman" w:ascii="Liberation Serif" w:hAnsi="Liberation Serif"/>
          <w:sz w:val="24"/>
          <w:szCs w:val="24"/>
        </w:rPr>
        <w:t xml:space="preserve">Значение показателя определяется на основании оценки качества управления бюджетным процессом в муниципальных образованиях в Свердловской области, проводимой Министерством финансов Свердловской области, в соответствии с </w:t>
      </w:r>
      <w:hyperlink r:id="rId13">
        <w:r>
          <w:rPr>
            <w:rStyle w:val="Style9"/>
            <w:rFonts w:cs="Times New Roman" w:ascii="Liberation Serif" w:hAnsi="Liberation Serif"/>
            <w:color w:val="0000FF"/>
            <w:sz w:val="24"/>
            <w:szCs w:val="24"/>
          </w:rPr>
          <w:t>Постановлением</w:t>
        </w:r>
      </w:hyperlink>
      <w:r>
        <w:rPr>
          <w:rFonts w:cs="Times New Roman" w:ascii="Liberation Serif" w:hAnsi="Liberation Serif"/>
          <w:sz w:val="24"/>
          <w:szCs w:val="24"/>
        </w:rPr>
        <w:t xml:space="preserve"> Правительства Свердловской области от 25.05.2011г. N 596-ПП «Об утверждении Порядка осуществления мониторинга и оценки качества управления бюджетным процессом в муниципальных образованиях в Свердловской области», по результатам которой муниципальным образованиям в Свердловской области присваивается I, II или III степень качества управления муниципальными финансами.</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Результаты рейтинга и оценка качества управления бюджетным процессом ежегодно размещаются на официальном сайте Министерства финансов Свердловской области в информационно-телекоммуникационной сети «Интернет» и направляются в адрес высших должностных лиц муниципальных образований (глав местных администраций) Свердловской области.</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Показатель 2.2.2.2. Степень достижения Тугулымским  муниципальным округом максимально возможного количества баллов, набранных в ходе проведения мониторинга и составления рейтинга муниципальных образований Свердловской области по уровню открытости бюджетных данных за отчетный финансовый год.</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Значение показателя определяется по формуле: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jc w:val="center"/>
        <w:rPr>
          <w:rFonts w:ascii="Liberation Serif" w:hAnsi="Liberation Serif"/>
          <w:sz w:val="24"/>
          <w:szCs w:val="24"/>
        </w:rPr>
      </w:pPr>
      <w:r>
        <w:rPr>
          <w:rFonts w:cs="Times New Roman" w:ascii="Liberation Serif" w:hAnsi="Liberation Serif"/>
          <w:sz w:val="24"/>
          <w:szCs w:val="24"/>
          <w:lang w:val="en-US"/>
        </w:rPr>
        <w:t xml:space="preserve">Ui = (Ai / Amax) x 100, </w:t>
      </w:r>
      <w:r>
        <w:rPr>
          <w:rFonts w:cs="Times New Roman" w:ascii="Liberation Serif" w:hAnsi="Liberation Serif"/>
          <w:sz w:val="24"/>
          <w:szCs w:val="24"/>
        </w:rPr>
        <w:t>где</w:t>
      </w:r>
      <w:r>
        <w:rPr>
          <w:rFonts w:cs="Times New Roman" w:ascii="Liberation Serif" w:hAnsi="Liberation Serif"/>
          <w:sz w:val="24"/>
          <w:szCs w:val="24"/>
          <w:lang w:val="en-US"/>
        </w:rPr>
        <w:t>:</w:t>
      </w:r>
    </w:p>
    <w:p>
      <w:pPr>
        <w:pStyle w:val="ConsPlusNormal"/>
        <w:jc w:val="both"/>
        <w:rPr>
          <w:rFonts w:ascii="Liberation Serif" w:hAnsi="Liberation Serif" w:cs="Times New Roman"/>
          <w:sz w:val="24"/>
          <w:szCs w:val="24"/>
          <w:lang w:val="en-US"/>
        </w:rPr>
      </w:pPr>
      <w:r>
        <w:rPr>
          <w:rFonts w:cs="Times New Roman" w:ascii="Liberation Serif" w:hAnsi="Liberation Serif"/>
          <w:sz w:val="24"/>
          <w:szCs w:val="24"/>
          <w:lang w:val="en-US"/>
        </w:rPr>
      </w:r>
    </w:p>
    <w:p>
      <w:pPr>
        <w:pStyle w:val="ConsPlusNormal"/>
        <w:ind w:firstLine="540"/>
        <w:jc w:val="both"/>
        <w:rPr>
          <w:rFonts w:ascii="Liberation Serif" w:hAnsi="Liberation Serif"/>
          <w:sz w:val="24"/>
          <w:szCs w:val="24"/>
        </w:rPr>
      </w:pPr>
      <w:r>
        <w:rPr>
          <w:rFonts w:cs="Times New Roman" w:ascii="Liberation Serif" w:hAnsi="Liberation Serif"/>
          <w:sz w:val="24"/>
          <w:szCs w:val="24"/>
        </w:rPr>
        <w:t>Ui - степень достижения Тугулымским муниципальным округом максимально возможного количества баллов, набранных в ходе проведения мониторинга и составления рейтинга муниципальных образований, расположенных на территории Свердловской области, по уровню открытости бюджетных данных за отчетный финансовый год (процентов);</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Ai - количество баллов, набранных Тугулымским муниципальным округом в ходе проведения мониторинга и составления рейтинга муниципальных образований, расположенных на территории Свердловской области, по уровню открытости бюджетных данных за отчетный финансовый год;</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Amax - максимально возможное количество баллов, набранных в ходе проведения мониторинга и составления рейтинга муниципальных образований, расположенных на территории Свердловской области по уровню открытости бюджетных данных за отчетный финансовый год.</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Показатель 3.3.1.1. Отношение объема заимствований Тугулымского муниципального округа в отчетном финансовом году к сумме, направляемой в отчетном финансовом году на финансирование дефицита бюджета и (или) погашение долговых обязательств местного бюджета.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Значение показателя определяется по формуле: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jc w:val="center"/>
        <w:rPr>
          <w:rFonts w:ascii="Liberation Serif" w:hAnsi="Liberation Serif"/>
          <w:sz w:val="24"/>
          <w:szCs w:val="24"/>
        </w:rPr>
      </w:pPr>
      <w:r>
        <w:rPr>
          <w:rFonts w:cs="Times New Roman" w:ascii="Liberation Serif" w:hAnsi="Liberation Serif"/>
          <w:sz w:val="24"/>
          <w:szCs w:val="24"/>
        </w:rPr>
        <w:t>Ооз(i) = Vз / (Vдф + Vп), где: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Ооз(i) - отношение объема заимствований к сумме объема дефицита бюджета Тугулымского муниципального округа и объема, направленного на погашение долговых обязательств в отчетном году;</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Vз - объем заимствований за отчетный финансовый год;</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Vдф - объем дефицита бюджета Тугулымского муниципального округа округа, утверждаемый решением Думы об исполнении бюджета Тугулымского муниципального округа округа за отчетный год;</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Vп - объем средств бюджета Тугулымского муниципального округа, направляемый на погашение долговых обязательств Тугулымского муниципального округа, в соответствии с решением Думы об исполнении бюджета Тугулымского муниципального округа за отчетный год;</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i - отчетный финансовый год.</w:t>
      </w:r>
    </w:p>
    <w:p>
      <w:pPr>
        <w:pStyle w:val="ConsPlusNormal"/>
        <w:ind w:firstLine="540"/>
        <w:jc w:val="both"/>
        <w:rPr/>
      </w:pPr>
      <w:r>
        <w:rPr>
          <w:rFonts w:cs="Times New Roman" w:ascii="Liberation Serif" w:hAnsi="Liberation Serif"/>
          <w:sz w:val="24"/>
          <w:szCs w:val="24"/>
        </w:rPr>
        <w:t xml:space="preserve">В соответствии со </w:t>
      </w:r>
      <w:hyperlink r:id="rId14">
        <w:r>
          <w:rPr>
            <w:rStyle w:val="Style9"/>
            <w:rFonts w:cs="Times New Roman" w:ascii="Liberation Serif" w:hAnsi="Liberation Serif"/>
            <w:color w:val="0000FF"/>
            <w:sz w:val="24"/>
            <w:szCs w:val="24"/>
          </w:rPr>
          <w:t>статьей 106</w:t>
        </w:r>
      </w:hyperlink>
      <w:r>
        <w:rPr>
          <w:rFonts w:cs="Times New Roman" w:ascii="Liberation Serif" w:hAnsi="Liberation Serif"/>
          <w:sz w:val="24"/>
          <w:szCs w:val="24"/>
        </w:rPr>
        <w:t xml:space="preserve"> Бюджетного кодекса Российской Федерации значение показателя Ооз(i) должно быть &lt;= 1.</w:t>
      </w:r>
    </w:p>
    <w:p>
      <w:pPr>
        <w:pStyle w:val="ConsPlusNormal"/>
        <w:ind w:firstLine="540"/>
        <w:jc w:val="both"/>
        <w:rPr/>
      </w:pPr>
      <w:r>
        <w:rPr>
          <w:rFonts w:cs="Times New Roman" w:ascii="Liberation Serif" w:hAnsi="Liberation Serif"/>
          <w:sz w:val="24"/>
          <w:szCs w:val="24"/>
        </w:rPr>
        <w:t>Источник информации - отчет об исполнении бюджета Тугулымского муниципального округа округа за отчетный финансовый год (</w:t>
      </w:r>
      <w:hyperlink r:id="rId15">
        <w:r>
          <w:rPr>
            <w:rStyle w:val="Style9"/>
            <w:rFonts w:cs="Times New Roman" w:ascii="Liberation Serif" w:hAnsi="Liberation Serif"/>
            <w:color w:val="0000FF"/>
            <w:sz w:val="24"/>
            <w:szCs w:val="24"/>
          </w:rPr>
          <w:t>форма N 0503317</w:t>
        </w:r>
      </w:hyperlink>
      <w:r>
        <w:rPr>
          <w:rFonts w:cs="Times New Roman" w:ascii="Liberation Serif" w:hAnsi="Liberation Serif"/>
          <w:sz w:val="24"/>
          <w:szCs w:val="24"/>
        </w:rPr>
        <w:t xml:space="preserve"> к инструкции, утвержденной Приказом Минфина России от 28.12.2010г. N 191н).</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Показатель 3.3.1.2. Отношение объема муниципального долга Тугулымского муниципального округа к общему годовому объему доходов местного бюджета без учета объема безвозмездных поступлений в отчетном финансовом году.</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Значение показателя на очередной финансовый год и плановый период определяется ежегодно по формуле:</w:t>
      </w:r>
    </w:p>
    <w:p>
      <w:pPr>
        <w:pStyle w:val="ConsPlusNormal"/>
        <w:jc w:val="center"/>
        <w:rPr>
          <w:rFonts w:ascii="Liberation Serif" w:hAnsi="Liberation Serif"/>
          <w:sz w:val="24"/>
          <w:szCs w:val="24"/>
        </w:rPr>
      </w:pPr>
      <w:r>
        <w:rPr>
          <w:rFonts w:cs="Times New Roman" w:ascii="Liberation Serif" w:hAnsi="Liberation Serif"/>
          <w:sz w:val="24"/>
          <w:szCs w:val="24"/>
        </w:rPr>
        <w:t>Оогд(i) = (Vгд / Vд) x 100, где: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Оогд(i) - отношение объема муниципального долга Тугулымского муниципального округа  по состоянию на 01 января года, следующего за отчетным, к общему годовому объему доходов бюджета Тугулымского муниципального округа в отчетном финансовом году (без учета безвозмездных поступлений и (или) поступлений налоговых доходов по дополнительным нормативам отчислений) в отчетном финансовом году (процентов);</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Vгд - объем муниципального долга Тугулымского муниципального округа на 1 января года, следующего за отчетным годом;</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Vд - общий годовой объем доходов бюджета Тугулымского муниципального округа в отчетном году (без учета безвозмездных поступлений);</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i - отчетный финансовый год.</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Значение показателя на последующие годы устанавливается на уровне второго года планового периода.</w:t>
      </w:r>
    </w:p>
    <w:p>
      <w:pPr>
        <w:pStyle w:val="ConsPlusNormal"/>
        <w:ind w:firstLine="540"/>
        <w:jc w:val="both"/>
        <w:rPr/>
      </w:pPr>
      <w:r>
        <w:rPr>
          <w:rFonts w:cs="Times New Roman" w:ascii="Liberation Serif" w:hAnsi="Liberation Serif"/>
          <w:sz w:val="24"/>
          <w:szCs w:val="24"/>
        </w:rPr>
        <w:t xml:space="preserve">В соответствии со </w:t>
      </w:r>
      <w:hyperlink r:id="rId16">
        <w:r>
          <w:rPr>
            <w:rStyle w:val="Style9"/>
            <w:rFonts w:cs="Times New Roman" w:ascii="Liberation Serif" w:hAnsi="Liberation Serif"/>
            <w:color w:val="0000FF"/>
            <w:sz w:val="24"/>
            <w:szCs w:val="24"/>
          </w:rPr>
          <w:t>статьей 107</w:t>
        </w:r>
      </w:hyperlink>
      <w:r>
        <w:rPr>
          <w:rFonts w:cs="Times New Roman" w:ascii="Liberation Serif" w:hAnsi="Liberation Serif"/>
          <w:sz w:val="24"/>
          <w:szCs w:val="24"/>
        </w:rPr>
        <w:t xml:space="preserve"> Бюджетного кодекса Российской Федерации значение показателя Оогд(i) должно быть &lt;= 100 процентов.</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Источник информации:</w:t>
      </w:r>
    </w:p>
    <w:p>
      <w:pPr>
        <w:pStyle w:val="ConsPlusNormal"/>
        <w:ind w:firstLine="540"/>
        <w:jc w:val="both"/>
        <w:rPr/>
      </w:pPr>
      <w:r>
        <w:rPr>
          <w:rFonts w:cs="Times New Roman" w:ascii="Liberation Serif" w:hAnsi="Liberation Serif"/>
          <w:sz w:val="24"/>
          <w:szCs w:val="24"/>
        </w:rPr>
        <w:t>- отчет об исполнении бюджета Тугулымского муниципального округа за отчетный финансовый год (</w:t>
      </w:r>
      <w:hyperlink r:id="rId17">
        <w:r>
          <w:rPr>
            <w:rStyle w:val="Style9"/>
            <w:rFonts w:cs="Times New Roman" w:ascii="Liberation Serif" w:hAnsi="Liberation Serif"/>
            <w:color w:val="0000FF"/>
            <w:sz w:val="24"/>
            <w:szCs w:val="24"/>
          </w:rPr>
          <w:t>форма N 0503317</w:t>
        </w:r>
      </w:hyperlink>
      <w:r>
        <w:rPr>
          <w:rFonts w:cs="Times New Roman" w:ascii="Liberation Serif" w:hAnsi="Liberation Serif"/>
          <w:sz w:val="24"/>
          <w:szCs w:val="24"/>
        </w:rPr>
        <w:t xml:space="preserve"> к инструкции, утвержденной Приказом Минфина России от 28.12.2010г. N 191н);</w:t>
      </w:r>
    </w:p>
    <w:p>
      <w:pPr>
        <w:pStyle w:val="ConsPlusNormal"/>
        <w:ind w:firstLine="540"/>
        <w:jc w:val="both"/>
        <w:rPr/>
      </w:pPr>
      <w:r>
        <w:rPr>
          <w:rFonts w:cs="Times New Roman" w:ascii="Liberation Serif" w:hAnsi="Liberation Serif"/>
          <w:sz w:val="24"/>
          <w:szCs w:val="24"/>
        </w:rPr>
        <w:t>- сведения о государственном (муниципальном) долге, предоставленных бюджетных кредитах (</w:t>
      </w:r>
      <w:hyperlink r:id="rId18">
        <w:r>
          <w:rPr>
            <w:rStyle w:val="Style9"/>
            <w:rFonts w:cs="Times New Roman" w:ascii="Liberation Serif" w:hAnsi="Liberation Serif"/>
            <w:color w:val="0000FF"/>
            <w:sz w:val="24"/>
            <w:szCs w:val="24"/>
          </w:rPr>
          <w:t>форма N 0503172</w:t>
        </w:r>
      </w:hyperlink>
      <w:r>
        <w:rPr>
          <w:rFonts w:cs="Times New Roman" w:ascii="Liberation Serif" w:hAnsi="Liberation Serif"/>
          <w:sz w:val="24"/>
          <w:szCs w:val="24"/>
        </w:rPr>
        <w:t xml:space="preserve"> к инструкции, утвержденной Приказом Минфина России от 28.12.2010г. N 191н);</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 решение Думы Тугулымского муниципального округа о бюджете на очередной финансовый год и плановый период.</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Показатель 3.3.1.3. Отношение объема средств, направленных в отчетном финансовом году на погашение долговых обязательств и обслуживание муниципального долга Тугулымского муниципального округа (без учета объемов погашения и расходов, осуществленных за счет новых заимствований), к годовому объему налоговых, неналоговых доходов бюджета.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Значение показателя определяется по формуле: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jc w:val="center"/>
        <w:rPr>
          <w:rFonts w:ascii="Liberation Serif" w:hAnsi="Liberation Serif"/>
          <w:sz w:val="24"/>
          <w:szCs w:val="24"/>
        </w:rPr>
      </w:pPr>
      <w:r>
        <w:rPr>
          <w:rFonts w:cs="Times New Roman" w:ascii="Liberation Serif" w:hAnsi="Liberation Serif"/>
          <w:sz w:val="24"/>
          <w:szCs w:val="24"/>
        </w:rPr>
        <w:t>Оос(i) = (Vпдо + Vогд - Vзс) / (Vнн + Vд) x 100, где: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Оос(i) - отношение объема средств, направленных в отчетном финансовом году на погашение долговых обязательств и обслуживание муниципального долга Тугулымского муниципального округа (без учета объемов погашения и расходов, осуществленных за счет новых заимствований), к годовому объему налоговых, неналоговых доходов бюджета Тугулымского муниципального округа (процентов);</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Vпдо - объем средств, направленных в отчетном финансовом году на погашение долговых обязательств (тыс. рублей);</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Vогд - объем средств, направленных в отчетном финансовом году на обслуживание муниципального долга Тугулымского муниципального округа (тыс. рублей);</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Vзс - объем средств, полученных в виде займов в отчетном финансовом году (тыс. рублей);</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Vнн - годовой объем налоговых, неналоговых доходов бюджета Тугулымского муниципального округа в отчетном финансовом году (тыс. рублей);</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Vд - годовой объем дотаций, полученных в бюджет Тугулымского муниципального округа в отчетном финансовом году (тыс. рублей);</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i - отчетный финансовый год.</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Источники информации:</w:t>
      </w:r>
    </w:p>
    <w:p>
      <w:pPr>
        <w:pStyle w:val="ConsPlusNormal"/>
        <w:ind w:firstLine="540"/>
        <w:jc w:val="both"/>
        <w:rPr/>
      </w:pPr>
      <w:r>
        <w:rPr>
          <w:rFonts w:cs="Times New Roman" w:ascii="Liberation Serif" w:hAnsi="Liberation Serif"/>
          <w:sz w:val="24"/>
          <w:szCs w:val="24"/>
        </w:rPr>
        <w:t>1) отчет об исполнении бюджета Тугулымского муниципального округа за отчетный финансовый год (</w:t>
      </w:r>
      <w:hyperlink r:id="rId19">
        <w:r>
          <w:rPr>
            <w:rStyle w:val="Style9"/>
            <w:rFonts w:cs="Times New Roman" w:ascii="Liberation Serif" w:hAnsi="Liberation Serif"/>
            <w:color w:val="0000FF"/>
            <w:sz w:val="24"/>
            <w:szCs w:val="24"/>
          </w:rPr>
          <w:t>форма N 0503317</w:t>
        </w:r>
      </w:hyperlink>
      <w:r>
        <w:rPr>
          <w:rFonts w:cs="Times New Roman" w:ascii="Liberation Serif" w:hAnsi="Liberation Serif"/>
          <w:sz w:val="24"/>
          <w:szCs w:val="24"/>
        </w:rPr>
        <w:t xml:space="preserve"> к инструкции, утвержденной Приказом Минфина России от 28.12.2010г. N 191н);</w:t>
      </w:r>
    </w:p>
    <w:p>
      <w:pPr>
        <w:pStyle w:val="ConsPlusNormal"/>
        <w:ind w:firstLine="540"/>
        <w:jc w:val="both"/>
        <w:rPr/>
      </w:pPr>
      <w:r>
        <w:rPr>
          <w:rFonts w:cs="Times New Roman" w:ascii="Liberation Serif" w:hAnsi="Liberation Serif"/>
          <w:sz w:val="24"/>
          <w:szCs w:val="24"/>
        </w:rPr>
        <w:t>2) сведения о государственном (муниципальном) долге, предоставленных бюджетных кредитах (</w:t>
      </w:r>
      <w:hyperlink r:id="rId20">
        <w:r>
          <w:rPr>
            <w:rStyle w:val="Style9"/>
            <w:rFonts w:cs="Times New Roman" w:ascii="Liberation Serif" w:hAnsi="Liberation Serif"/>
            <w:color w:val="0000FF"/>
            <w:sz w:val="24"/>
            <w:szCs w:val="24"/>
          </w:rPr>
          <w:t>форма N 0503172</w:t>
        </w:r>
      </w:hyperlink>
      <w:r>
        <w:rPr>
          <w:rFonts w:cs="Times New Roman" w:ascii="Liberation Serif" w:hAnsi="Liberation Serif"/>
          <w:sz w:val="24"/>
          <w:szCs w:val="24"/>
        </w:rPr>
        <w:t xml:space="preserve"> к инструкции, утвержденной Приказом Минфина России от 28.12.2010г. N 191н).</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Показатель 3.3.1.4. Отношение объема расходов на обслуживание муниципального долга к объему расходов бюджета Тугулымского муниципального округа, за исключением объема расходов, которые осуществляются за счет субвенций, предоставляемых из областного бюджета в отчетном финансовом году.</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Значение показателя на очередной финансовый год и плановый период определяется ежегодно по формуле:</w:t>
      </w:r>
    </w:p>
    <w:p>
      <w:pPr>
        <w:pStyle w:val="ConsPlusNormal"/>
        <w:jc w:val="center"/>
        <w:rPr>
          <w:rFonts w:ascii="Liberation Serif" w:hAnsi="Liberation Serif"/>
          <w:sz w:val="24"/>
          <w:szCs w:val="24"/>
        </w:rPr>
      </w:pPr>
      <w:r>
        <w:rPr>
          <w:rFonts w:cs="Times New Roman" w:ascii="Liberation Serif" w:hAnsi="Liberation Serif"/>
          <w:sz w:val="24"/>
          <w:szCs w:val="24"/>
        </w:rPr>
        <w:t>Ооробсл(i) = (Vробсл / Vр) x 100, где: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Ооробсл(i) - отношение объема расходов на обслуживание муниципального долга к объему расходов бюджета Тугулымского муниципального округа, за исключением объема расходов, которые осуществляются за счет субвенций, предоставляемых из бюджетов бюджетной системы Российской Федерации в отчетном году (процентов);</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Vробсл - объем расходов на обслуживание муниципального долга в отчетном году;</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Vр - объем расходов бюджета Тугулымского муниципального округа в отчетном году, за исключением объема расходов, которые осуществляются за счет субвенций, предоставляемых из бюджетов бюджетной системы Российской Федерации в отчетном году;</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i - отчетный финансовый год.</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Значение показателя на последующие годы устанавливается на уровне второго года планового периода.</w:t>
      </w:r>
    </w:p>
    <w:p>
      <w:pPr>
        <w:pStyle w:val="ConsPlusNormal"/>
        <w:ind w:firstLine="540"/>
        <w:jc w:val="both"/>
        <w:rPr/>
      </w:pPr>
      <w:r>
        <w:rPr>
          <w:rFonts w:cs="Times New Roman" w:ascii="Liberation Serif" w:hAnsi="Liberation Serif"/>
          <w:sz w:val="24"/>
          <w:szCs w:val="24"/>
        </w:rPr>
        <w:t xml:space="preserve">В соответствии со </w:t>
      </w:r>
      <w:hyperlink r:id="rId21">
        <w:r>
          <w:rPr>
            <w:rStyle w:val="Style9"/>
            <w:rFonts w:cs="Times New Roman" w:ascii="Liberation Serif" w:hAnsi="Liberation Serif"/>
            <w:color w:val="0000FF"/>
            <w:sz w:val="24"/>
            <w:szCs w:val="24"/>
          </w:rPr>
          <w:t>статьей 111</w:t>
        </w:r>
      </w:hyperlink>
      <w:r>
        <w:rPr>
          <w:rFonts w:cs="Times New Roman" w:ascii="Liberation Serif" w:hAnsi="Liberation Serif"/>
          <w:sz w:val="24"/>
          <w:szCs w:val="24"/>
        </w:rPr>
        <w:t xml:space="preserve"> Бюджетного кодекса Российской Федерации значение показателя Ооробсл(i) должно быть &lt;= 15 процентов.</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Источник информации:</w:t>
      </w:r>
    </w:p>
    <w:p>
      <w:pPr>
        <w:pStyle w:val="ConsPlusNormal"/>
        <w:ind w:firstLine="540"/>
        <w:jc w:val="both"/>
        <w:rPr/>
      </w:pPr>
      <w:r>
        <w:rPr>
          <w:rFonts w:cs="Times New Roman" w:ascii="Liberation Serif" w:hAnsi="Liberation Serif"/>
          <w:sz w:val="24"/>
          <w:szCs w:val="24"/>
        </w:rPr>
        <w:t>- отчет об исполнении бюджета Тугулымского муниципального округа за отчетный финансовый год (</w:t>
      </w:r>
      <w:hyperlink r:id="rId22">
        <w:r>
          <w:rPr>
            <w:rStyle w:val="Style9"/>
            <w:rFonts w:cs="Times New Roman" w:ascii="Liberation Serif" w:hAnsi="Liberation Serif"/>
            <w:color w:val="0000FF"/>
            <w:sz w:val="24"/>
            <w:szCs w:val="24"/>
          </w:rPr>
          <w:t>форма N 0503317</w:t>
        </w:r>
      </w:hyperlink>
      <w:r>
        <w:rPr>
          <w:rFonts w:cs="Times New Roman" w:ascii="Liberation Serif" w:hAnsi="Liberation Serif"/>
          <w:sz w:val="24"/>
          <w:szCs w:val="24"/>
        </w:rPr>
        <w:t xml:space="preserve"> к инструкции, утвержденной Приказом Минфина России от 28.12.2010г. N 191н).</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Показатель 3.3.1.5. Просроченная задолженность по долговым обязательствам Тугулымского муниципального округа.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Значение показателя определяется по формуле: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jc w:val="center"/>
        <w:rPr>
          <w:rFonts w:ascii="Liberation Serif" w:hAnsi="Liberation Serif"/>
          <w:sz w:val="24"/>
          <w:szCs w:val="24"/>
        </w:rPr>
      </w:pPr>
      <w:r>
        <w:rPr>
          <w:rFonts w:cs="Times New Roman" w:ascii="Liberation Serif" w:hAnsi="Liberation Serif"/>
          <w:sz w:val="24"/>
          <w:szCs w:val="24"/>
        </w:rPr>
        <w:t>Ui = Ai, где: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ind w:firstLine="540"/>
        <w:jc w:val="both"/>
        <w:rPr>
          <w:rFonts w:ascii="Liberation Serif" w:hAnsi="Liberation Serif"/>
          <w:sz w:val="24"/>
          <w:szCs w:val="24"/>
        </w:rPr>
      </w:pPr>
      <w:r>
        <w:rPr>
          <w:rFonts w:cs="Times New Roman" w:ascii="Liberation Serif" w:hAnsi="Liberation Serif"/>
          <w:sz w:val="24"/>
          <w:szCs w:val="24"/>
        </w:rPr>
        <w:t>Ui - просроченная задолженность по долговым обязательствам Тугулымского муниципального округа (тыс. рублей);</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i - отчетный финансовый год;</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Ai - просроченная задолженность по состоянию на 1 января текущего финансового года по:</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 бюджетным кредитам, предоставленным из областного бюджета (тыс. рублей);</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 кредитам, полученным от кредитных организаций (тыс. рублей);</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 муниципальным гарантиям Тугулымского муниципального округа (тыс. рублей).</w:t>
      </w:r>
    </w:p>
    <w:p>
      <w:pPr>
        <w:pStyle w:val="ConsPlusNormal"/>
        <w:ind w:firstLine="540"/>
        <w:jc w:val="both"/>
        <w:rPr/>
      </w:pPr>
      <w:r>
        <w:rPr>
          <w:rFonts w:cs="Times New Roman" w:ascii="Liberation Serif" w:hAnsi="Liberation Serif"/>
          <w:sz w:val="24"/>
          <w:szCs w:val="24"/>
        </w:rPr>
        <w:t>Источник информации - сведения о муниципальном долге, предоставленных бюджетных кредитах (</w:t>
      </w:r>
      <w:hyperlink r:id="rId23">
        <w:r>
          <w:rPr>
            <w:rStyle w:val="Style9"/>
            <w:rFonts w:cs="Times New Roman" w:ascii="Liberation Serif" w:hAnsi="Liberation Serif"/>
            <w:color w:val="0000FF"/>
            <w:sz w:val="24"/>
            <w:szCs w:val="24"/>
          </w:rPr>
          <w:t>форма N 0503172</w:t>
        </w:r>
      </w:hyperlink>
      <w:r>
        <w:rPr>
          <w:rFonts w:cs="Times New Roman" w:ascii="Liberation Serif" w:hAnsi="Liberation Serif"/>
          <w:sz w:val="24"/>
          <w:szCs w:val="24"/>
        </w:rPr>
        <w:t xml:space="preserve"> к инструкции, утвержденной Приказом Минфина России от 28.12.2010г. N 191н).</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Показатель 4.4.1.1. Отношение объема проверенных средств к общему объему расходов бюджета Тугулымского муниципального округа.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Значение показателя определяется по формуле: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jc w:val="center"/>
        <w:rPr>
          <w:rFonts w:ascii="Liberation Serif" w:hAnsi="Liberation Serif"/>
          <w:sz w:val="24"/>
          <w:szCs w:val="24"/>
        </w:rPr>
      </w:pPr>
      <w:r>
        <w:rPr>
          <w:rFonts w:cs="Times New Roman" w:ascii="Liberation Serif" w:hAnsi="Liberation Serif"/>
          <w:sz w:val="24"/>
          <w:szCs w:val="24"/>
        </w:rPr>
        <w:t>Опсрб = (Vпс / Vроб) x 100, где: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Опсрб - отношение объема проверенных средств к общему объему расходов бюджета Тугулымского муниципального округа (процентов);</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Vпс - объем проверенных средств по контрольным мероприятиям финансового управления, завершенными в текущем финансовом году, в соответствии с отчетами о результатах контрольных мероприятий за отчетный финансовый год (тыс. рублей);</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Vроб - объем расходов бюджета Тугулымского муниципального округа, утвержденный решением Думы Тугулымского муниципального округа о бюджете на отчетный финансовый год и плановый период (тыс. рублей).</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Источники информации:</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 отчеты о результатах контрольных мероприятий Финансового управления за отчетный финансовый год;</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 решение Думы Тугулымского муниципального округа о бюджете на отчетный финансовый год и плановый период.</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Показатель 4.4.2.1. Количество проведенных плановых проверок соблюдения законодательства о контрактной системе при осуществлении закупок для обеспечения нужд Тугулымского муниципального округа.</w:t>
      </w:r>
    </w:p>
    <w:p>
      <w:pPr>
        <w:pStyle w:val="ConsPlusNormal"/>
        <w:ind w:firstLine="540"/>
        <w:jc w:val="both"/>
        <w:rPr/>
      </w:pPr>
      <w:r>
        <w:rPr>
          <w:rFonts w:cs="Times New Roman" w:ascii="Liberation Serif" w:hAnsi="Liberation Serif"/>
          <w:sz w:val="24"/>
          <w:szCs w:val="24"/>
        </w:rPr>
        <w:t xml:space="preserve">Значение показателя определяется в соответствии с планом проведения проверок при осуществлении закупок для обеспечения нужд Тугулымского муниципального округа в соответствии с Федеральным </w:t>
      </w:r>
      <w:hyperlink r:id="rId24">
        <w:r>
          <w:rPr>
            <w:rStyle w:val="Style9"/>
            <w:rFonts w:cs="Times New Roman" w:ascii="Liberation Serif" w:hAnsi="Liberation Serif"/>
            <w:color w:val="0000FF"/>
            <w:sz w:val="24"/>
            <w:szCs w:val="24"/>
          </w:rPr>
          <w:t>законом</w:t>
        </w:r>
      </w:hyperlink>
      <w:r>
        <w:rPr>
          <w:rFonts w:cs="Times New Roman" w:ascii="Liberation Serif" w:hAnsi="Liberation Serif"/>
          <w:sz w:val="24"/>
          <w:szCs w:val="24"/>
        </w:rPr>
        <w:t xml:space="preserve"> от 05.04.2013г. N 44-ФЗ «О контрактной системе в сфере закупок товаров, работ, услуг для обеспечения государственных и муниципальных нужд», утверждаемым Финансовым управлением на каждое полугодие текущего финансового года.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Источник информации - отчет о результатах проверок, проведенных Финансовым управлением за соответствующий квартал текущего года.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Показатель 4.4.2.2. Количество нарушений законодательства о контрактной системе в сфере закупок товаров, работ, услуг, выявленных в ходе плановых проверок</w:t>
      </w:r>
    </w:p>
    <w:p>
      <w:pPr>
        <w:pStyle w:val="ConsPlusNormal"/>
        <w:ind w:firstLine="540"/>
        <w:jc w:val="both"/>
        <w:rPr/>
      </w:pPr>
      <w:r>
        <w:rPr>
          <w:rFonts w:cs="Times New Roman" w:ascii="Liberation Serif" w:hAnsi="Liberation Serif"/>
          <w:sz w:val="24"/>
          <w:szCs w:val="24"/>
        </w:rPr>
        <w:t xml:space="preserve">Значение показателя определяется в соответствии с планом проведения проверок при осуществлении закупок для обеспечения нужд Тугулымского муниципального округа в соответствии с Федеральным </w:t>
      </w:r>
      <w:hyperlink r:id="rId25">
        <w:r>
          <w:rPr>
            <w:rStyle w:val="Style9"/>
            <w:rFonts w:cs="Times New Roman" w:ascii="Liberation Serif" w:hAnsi="Liberation Serif"/>
            <w:color w:val="0000FF"/>
            <w:sz w:val="24"/>
            <w:szCs w:val="24"/>
          </w:rPr>
          <w:t>законом</w:t>
        </w:r>
      </w:hyperlink>
      <w:r>
        <w:rPr>
          <w:rFonts w:cs="Times New Roman" w:ascii="Liberation Serif" w:hAnsi="Liberation Serif"/>
          <w:sz w:val="24"/>
          <w:szCs w:val="24"/>
        </w:rPr>
        <w:t xml:space="preserve"> от 05.04.2013г. N 44-ФЗ «О контрактной системе в сфере закупок товаров, работ, услуг для обеспечения государственных и муниципальных нужд», утверждаемым Финансовым управлением на каждое полугодие текущего финансового года.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Источник информации - отчет о результатах проверок, проведенных Финансовым управлением за соответствующий квартал текущего года.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Показатель 4.4.2.3. Доля документов, в отношении которых своевременно осуществлен предварительный казначейский контроль в сфере закупок товаров, работ и услуг.</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Значение показателя определяется по формуле: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jc w:val="center"/>
        <w:rPr>
          <w:rFonts w:ascii="Liberation Serif" w:hAnsi="Liberation Serif"/>
          <w:sz w:val="24"/>
          <w:szCs w:val="24"/>
        </w:rPr>
      </w:pPr>
      <w:r>
        <w:rPr>
          <w:rFonts w:cs="Times New Roman" w:ascii="Liberation Serif" w:hAnsi="Liberation Serif"/>
          <w:sz w:val="24"/>
          <w:szCs w:val="24"/>
        </w:rPr>
        <w:t>Дксво = (Vксво / Vко) x 100, где: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Дксво - доля документов, в отношении которых своевременно осуществлен предварительный казначейский контроль в сфере закупок товаров, работ, услуг;</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Vксво - количество документов, в отношении которых своевременно осуществлен предварительный казначейский контроль в сфере закупок товаров, работ, услуг;</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Vко - общее количество документов, в отношении которых осуществлен предварительный казначейский контроль в сфере закупок товаров, работ, услуг.</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Источники информации:</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 раздел «WT-KC» программного комплекса «Бюджет-СМАРТ»;</w:t>
      </w:r>
    </w:p>
    <w:p>
      <w:pPr>
        <w:pStyle w:val="ConsPlusNormal"/>
        <w:ind w:firstLine="540"/>
        <w:jc w:val="both"/>
        <w:rPr/>
      </w:pPr>
      <w:r>
        <w:rPr>
          <w:rFonts w:cs="Times New Roman" w:ascii="Liberation Serif" w:hAnsi="Liberation Serif"/>
          <w:sz w:val="24"/>
          <w:szCs w:val="24"/>
        </w:rPr>
        <w:t xml:space="preserve">- раздел «Контроль по </w:t>
      </w:r>
      <w:hyperlink r:id="rId26">
        <w:r>
          <w:rPr>
            <w:rStyle w:val="Style9"/>
            <w:rFonts w:cs="Times New Roman" w:ascii="Liberation Serif" w:hAnsi="Liberation Serif"/>
            <w:color w:val="0000FF"/>
            <w:sz w:val="24"/>
            <w:szCs w:val="24"/>
          </w:rPr>
          <w:t>части 5 статьи 99</w:t>
        </w:r>
      </w:hyperlink>
      <w:r>
        <w:rPr>
          <w:rFonts w:cs="Times New Roman" w:ascii="Liberation Serif" w:hAnsi="Liberation Serif"/>
          <w:sz w:val="24"/>
          <w:szCs w:val="24"/>
        </w:rPr>
        <w:t xml:space="preserve"> Федерального закона от 5 апреля 2013 года N 44-ФЗ» Единой информационной системы в сфере закупок.</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Показатель 4.4.3.1. Доля бюджетных обязательств получателей средств местного бюджета, в отношении которых осуществлен финансовый контроль для постановки их на учет.</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Значение показателя определяется по формуле: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jc w:val="center"/>
        <w:rPr>
          <w:rFonts w:ascii="Liberation Serif" w:hAnsi="Liberation Serif"/>
          <w:sz w:val="24"/>
          <w:szCs w:val="24"/>
        </w:rPr>
      </w:pPr>
      <w:r>
        <w:rPr>
          <w:rFonts w:cs="Times New Roman" w:ascii="Liberation Serif" w:hAnsi="Liberation Serif"/>
          <w:sz w:val="24"/>
          <w:szCs w:val="24"/>
        </w:rPr>
        <w:t>ДБО = (КБО / КОБО) x 100, где: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ДБО - доля бюджетных обязательств получателей средств местного бюджета, в отношении которых осуществлен финансовый контроль для постановки их на учет (процентов);</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КБО - количество бюджетных обязательств, в отношении которых осуществлен финансовый контроль для последующей постановки их на учет в текущем финансовом году;</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КОБО - общее количество бюджетных обязательств, поступивших на проверку для постановки на учет в текущем финансовом году.</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Источник информации - программный комплекс «Бюджет-СМАРТ».</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Показатель 4.4.3.2. Доля своевременно санкционированных документов получателей средств местного бюджета и не участников бюджетного процесса.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Значение показателя определяется по формуле: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jc w:val="center"/>
        <w:rPr>
          <w:rFonts w:ascii="Liberation Serif" w:hAnsi="Liberation Serif"/>
          <w:sz w:val="24"/>
          <w:szCs w:val="24"/>
        </w:rPr>
      </w:pPr>
      <w:r>
        <w:rPr>
          <w:rFonts w:cs="Times New Roman" w:ascii="Liberation Serif" w:hAnsi="Liberation Serif"/>
          <w:sz w:val="24"/>
          <w:szCs w:val="24"/>
        </w:rPr>
        <w:t>Дсанксво = (Vсанксво / Vсанко) x 100, где:</w:t>
      </w:r>
    </w:p>
    <w:p>
      <w:pPr>
        <w:pStyle w:val="ConsPlusNormal"/>
        <w:jc w:val="both"/>
        <w:rPr>
          <w:rFonts w:ascii="Liberation Serif" w:hAnsi="Liberation Serif" w:cs="Times New Roman"/>
          <w:sz w:val="24"/>
          <w:szCs w:val="24"/>
        </w:rPr>
      </w:pPr>
      <w:r>
        <w:rPr>
          <w:rFonts w:cs="Times New Roman" w:ascii="Liberation Serif" w:hAnsi="Liberation Serif"/>
          <w:sz w:val="24"/>
          <w:szCs w:val="24"/>
        </w:rPr>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Дсанксво - доля своевременно санкционированных документов получателей средств бюджета Тугулымского муниципального округа и не участников бюджетного процесса;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Vсанксво - количество своевременно санкционированных документов получателей средств бюджета Тугулымского муниципального округа и не участников бюджетного процесса;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Vсанко - общее количество санкционированных документов получателей средств бюджета Тугулымского муниципального округа и не участников бюджетного процесса.</w:t>
      </w:r>
    </w:p>
    <w:p>
      <w:pPr>
        <w:pStyle w:val="ConsPlusNormal"/>
        <w:ind w:firstLine="540"/>
        <w:jc w:val="both"/>
        <w:rPr>
          <w:rFonts w:ascii="Liberation Serif" w:hAnsi="Liberation Serif"/>
          <w:sz w:val="24"/>
          <w:szCs w:val="24"/>
        </w:rPr>
      </w:pPr>
      <w:r>
        <w:rPr>
          <w:rFonts w:cs="Times New Roman" w:ascii="Liberation Serif" w:hAnsi="Liberation Serif"/>
          <w:sz w:val="24"/>
          <w:szCs w:val="24"/>
        </w:rPr>
        <w:t>Источник информации - разделы «Документы» и «Отчеты» программного комплекса «Бюджет-СМАРТ».</w:t>
      </w:r>
    </w:p>
    <w:p>
      <w:pPr>
        <w:pStyle w:val="ConsPlusNormal"/>
        <w:ind w:firstLine="539"/>
        <w:jc w:val="both"/>
        <w:rPr>
          <w:rFonts w:ascii="Liberation Serif" w:hAnsi="Liberation Serif"/>
          <w:sz w:val="24"/>
          <w:szCs w:val="24"/>
        </w:rPr>
      </w:pPr>
      <w:r>
        <w:rPr>
          <w:rFonts w:cs="Times New Roman" w:ascii="Liberation Serif" w:hAnsi="Liberation Serif"/>
          <w:sz w:val="24"/>
          <w:szCs w:val="24"/>
        </w:rPr>
        <w:t>Показатель 5.5.1.1. Уровень обеспеченности муниципальных служащих Финансового управления автоматизированными рабочими местами.</w:t>
      </w:r>
    </w:p>
    <w:p>
      <w:pPr>
        <w:pStyle w:val="ConsPlusNormal"/>
        <w:ind w:firstLine="539"/>
        <w:jc w:val="both"/>
        <w:rPr>
          <w:rFonts w:ascii="Liberation Serif" w:hAnsi="Liberation Serif"/>
          <w:sz w:val="24"/>
          <w:szCs w:val="24"/>
        </w:rPr>
      </w:pPr>
      <w:r>
        <w:rPr>
          <w:rFonts w:cs="Times New Roman" w:ascii="Liberation Serif" w:hAnsi="Liberation Serif"/>
          <w:sz w:val="24"/>
          <w:szCs w:val="24"/>
        </w:rPr>
        <w:t>Значение показателя определяется по данным отчета о выполнении плана контрольно-экономической работы.</w:t>
      </w:r>
    </w:p>
    <w:p>
      <w:pPr>
        <w:pStyle w:val="ConsPlusNormal"/>
        <w:ind w:firstLine="539"/>
        <w:jc w:val="both"/>
        <w:rPr>
          <w:rFonts w:ascii="Liberation Serif" w:hAnsi="Liberation Serif"/>
          <w:sz w:val="24"/>
          <w:szCs w:val="24"/>
        </w:rPr>
      </w:pPr>
      <w:r>
        <w:rPr>
          <w:rFonts w:cs="Times New Roman" w:ascii="Liberation Serif" w:hAnsi="Liberation Serif"/>
          <w:sz w:val="24"/>
          <w:szCs w:val="24"/>
        </w:rPr>
        <w:t>Источник информации - отчет о выполнении плана контрольно-экономической работы.</w:t>
      </w:r>
    </w:p>
    <w:p>
      <w:pPr>
        <w:pStyle w:val="Normal"/>
        <w:ind w:firstLine="539"/>
        <w:jc w:val="both"/>
        <w:rPr>
          <w:rFonts w:ascii="Liberation Serif" w:hAnsi="Liberation Serif"/>
          <w:sz w:val="24"/>
          <w:szCs w:val="24"/>
        </w:rPr>
      </w:pPr>
      <w:r>
        <w:rPr>
          <w:rFonts w:ascii="Liberation Serif" w:hAnsi="Liberation Serif"/>
          <w:sz w:val="24"/>
          <w:szCs w:val="24"/>
        </w:rPr>
        <w:t>Показатель 5.5.1.2. Объем просроченной кредиторской задолженности Финансового управления по обязательствам местного бюджета.</w:t>
      </w:r>
    </w:p>
    <w:p>
      <w:pPr>
        <w:pStyle w:val="Normal"/>
        <w:ind w:firstLine="539"/>
        <w:jc w:val="both"/>
        <w:rPr>
          <w:rFonts w:ascii="Liberation Serif" w:hAnsi="Liberation Serif"/>
          <w:sz w:val="24"/>
          <w:szCs w:val="24"/>
        </w:rPr>
      </w:pPr>
      <w:r>
        <w:rPr>
          <w:rFonts w:ascii="Liberation Serif" w:hAnsi="Liberation Serif"/>
          <w:sz w:val="24"/>
          <w:szCs w:val="24"/>
        </w:rPr>
        <w:t>Значение показателя определяется по данным бухгалтерского учета и отчетности Финансового управления - получателя бюджетных средств в объеме фактической просроченной кредиторской задолженности по обязательствам местного бюджета.</w:t>
      </w:r>
    </w:p>
    <w:p>
      <w:pPr>
        <w:pStyle w:val="Normal"/>
        <w:ind w:firstLine="539"/>
        <w:jc w:val="both"/>
        <w:rPr>
          <w:rFonts w:ascii="Liberation Serif" w:hAnsi="Liberation Serif"/>
          <w:sz w:val="24"/>
          <w:szCs w:val="24"/>
        </w:rPr>
      </w:pPr>
      <w:r>
        <w:rPr>
          <w:rFonts w:ascii="Liberation Serif" w:hAnsi="Liberation Serif"/>
          <w:sz w:val="24"/>
          <w:szCs w:val="24"/>
        </w:rPr>
        <w:t>Источник информации - данные бухгалтерского учета и отчетности финансового управления - получателя бюджетных средств</w:t>
      </w:r>
    </w:p>
    <w:p>
      <w:pPr>
        <w:pStyle w:val="Normal"/>
        <w:rPr>
          <w:rFonts w:ascii="Liberation Serif" w:hAnsi="Liberation Serif"/>
          <w:sz w:val="24"/>
          <w:szCs w:val="24"/>
        </w:rPr>
      </w:pPr>
      <w:r>
        <w:rPr>
          <w:rFonts w:ascii="Liberation Serif" w:hAnsi="Liberation Serif"/>
          <w:sz w:val="24"/>
          <w:szCs w:val="24"/>
        </w:rPr>
      </w:r>
    </w:p>
    <w:sectPr>
      <w:type w:val="nextPage"/>
      <w:pgSz w:w="11906" w:h="16838"/>
      <w:pgMar w:left="1701" w:right="850" w:gutter="0" w:header="0" w:top="851"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Tahoma">
    <w:charset w:val="01"/>
    <w:family w:val="swiss"/>
    <w:pitch w:val="variable"/>
  </w:font>
  <w:font w:name="Liberation Sans">
    <w:altName w:val="Arial"/>
    <w:charset w:val="01"/>
    <w:family w:val="swiss"/>
    <w:pitch w:val="variable"/>
  </w:font>
  <w:font w:name="Arial">
    <w:charset w:val="01"/>
    <w:family w:val="swiss"/>
    <w:pitch w:val="variable"/>
  </w:font>
</w:fonts>
</file>

<file path=word/settings.xml><?xml version="1.0" encoding="utf-8"?>
<w:settings xmlns:w="http://schemas.openxmlformats.org/wordprocessingml/2006/main">
  <w:zoom w:percent="120"/>
  <w:defaultTabStop w:val="708"/>
  <w:autoHyphenation w:val="true"/>
  <w:hyphenationZone w:val="0"/>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6b3eda"/>
    <w:pPr>
      <w:widowControl/>
      <w:bidi w:val="0"/>
      <w:spacing w:lineRule="auto" w:line="240" w:before="0" w:after="0"/>
      <w:jc w:val="left"/>
    </w:pPr>
    <w:rPr>
      <w:rFonts w:ascii="Times New Roman" w:hAnsi="Times New Roman" w:eastAsia="Times New Roman" w:cs="Times New Roman"/>
      <w:color w:val="auto"/>
      <w:kern w:val="0"/>
      <w:sz w:val="28"/>
      <w:szCs w:val="20"/>
      <w:lang w:eastAsia="ru-RU" w:val="ru-RU" w:bidi="ar-SA"/>
    </w:rPr>
  </w:style>
  <w:style w:type="character" w:styleId="DefaultParagraphFont" w:default="1">
    <w:name w:val="Default Paragraph Font"/>
    <w:uiPriority w:val="1"/>
    <w:semiHidden/>
    <w:unhideWhenUsed/>
    <w:qFormat/>
    <w:rPr/>
  </w:style>
  <w:style w:type="character" w:styleId="Style14" w:customStyle="1">
    <w:name w:val="Текст выноски Знак"/>
    <w:basedOn w:val="DefaultParagraphFont"/>
    <w:link w:val="BalloonText"/>
    <w:uiPriority w:val="99"/>
    <w:semiHidden/>
    <w:qFormat/>
    <w:rsid w:val="006b3eda"/>
    <w:rPr>
      <w:rFonts w:ascii="Tahoma" w:hAnsi="Tahoma" w:eastAsia="Times New Roman" w:cs="Tahoma"/>
      <w:sz w:val="16"/>
      <w:szCs w:val="16"/>
      <w:lang w:eastAsia="ru-RU"/>
    </w:rPr>
  </w:style>
  <w:style w:type="character" w:styleId="Hyperlink">
    <w:name w:val="Hyperlink"/>
    <w:rPr>
      <w:color w:val="000080"/>
      <w:u w:val="single"/>
    </w:rPr>
  </w:style>
  <w:style w:type="paragraph" w:styleId="Style15">
    <w:name w:val="Заголовок"/>
    <w:basedOn w:val="Normal"/>
    <w:next w:val="BodyText"/>
    <w:qFormat/>
    <w:pPr>
      <w:keepNext w:val="true"/>
      <w:spacing w:before="240" w:after="120"/>
    </w:pPr>
    <w:rPr>
      <w:rFonts w:ascii="Liberation Sans" w:hAnsi="Liberation Sans" w:eastAsia="Tahoma"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Style16">
    <w:name w:val="Указатель"/>
    <w:basedOn w:val="Normal"/>
    <w:qFormat/>
    <w:pPr>
      <w:suppressLineNumbers/>
    </w:pPr>
    <w:rPr>
      <w:rFonts w:cs="Noto Sans"/>
    </w:rPr>
  </w:style>
  <w:style w:type="paragraph" w:styleId="ConsPlusNormal" w:customStyle="1">
    <w:name w:val="ConsPlusNormal"/>
    <w:qFormat/>
    <w:rsid w:val="006b3eda"/>
    <w:pPr>
      <w:widowControl w:val="false"/>
      <w:bidi w:val="0"/>
      <w:spacing w:lineRule="auto" w:line="240" w:before="0" w:after="0"/>
      <w:ind w:firstLine="720"/>
      <w:jc w:val="left"/>
    </w:pPr>
    <w:rPr>
      <w:rFonts w:ascii="Arial" w:hAnsi="Arial" w:eastAsia="Times New Roman" w:cs="Arial"/>
      <w:color w:val="auto"/>
      <w:kern w:val="0"/>
      <w:sz w:val="20"/>
      <w:szCs w:val="20"/>
      <w:lang w:eastAsia="ru-RU" w:val="ru-RU" w:bidi="ar-SA"/>
    </w:rPr>
  </w:style>
  <w:style w:type="paragraph" w:styleId="ConsPlusTitle" w:customStyle="1">
    <w:name w:val="ConsPlusTitle"/>
    <w:qFormat/>
    <w:rsid w:val="006b3eda"/>
    <w:pPr>
      <w:widowControl w:val="false"/>
      <w:bidi w:val="0"/>
      <w:spacing w:lineRule="auto" w:line="240" w:before="0" w:after="0"/>
      <w:jc w:val="left"/>
    </w:pPr>
    <w:rPr>
      <w:rFonts w:ascii="Times New Roman" w:hAnsi="Times New Roman" w:eastAsia="Times New Roman" w:cs="Times New Roman"/>
      <w:b/>
      <w:bCs/>
      <w:color w:val="auto"/>
      <w:kern w:val="0"/>
      <w:sz w:val="24"/>
      <w:szCs w:val="24"/>
      <w:lang w:eastAsia="ru-RU" w:val="ru-RU" w:bidi="ar-SA"/>
    </w:rPr>
  </w:style>
  <w:style w:type="paragraph" w:styleId="BalloonText">
    <w:name w:val="Balloon Text"/>
    <w:basedOn w:val="Normal"/>
    <w:link w:val="Style14"/>
    <w:uiPriority w:val="99"/>
    <w:semiHidden/>
    <w:unhideWhenUsed/>
    <w:qFormat/>
    <w:rsid w:val="006b3eda"/>
    <w:pPr/>
    <w:rPr>
      <w:rFonts w:ascii="Tahoma" w:hAnsi="Tahoma" w:cs="Tahoma"/>
      <w:sz w:val="16"/>
      <w:szCs w:val="16"/>
    </w:rPr>
  </w:style>
  <w:style w:type="numbering" w:styleId="Style17" w:default="1">
    <w:name w:val="Без списка"/>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RZB&amp;n=494395&amp;dst=110576" TargetMode="External"/><Relationship Id="rId3" Type="http://schemas.openxmlformats.org/officeDocument/2006/relationships/hyperlink" Target="https://login.consultant.ru/link/?req=doc&amp;base=RZB&amp;n=494395&amp;dst=110576" TargetMode="External"/><Relationship Id="rId4" Type="http://schemas.openxmlformats.org/officeDocument/2006/relationships/hyperlink" Target="https://login.consultant.ru/link/?req=doc&amp;base=RZB&amp;n=494395&amp;dst=110576" TargetMode="External"/><Relationship Id="rId5" Type="http://schemas.openxmlformats.org/officeDocument/2006/relationships/hyperlink" Target="https://login.consultant.ru/link/?req=doc&amp;base=RZB&amp;n=494395&amp;dst=8647" TargetMode="External"/><Relationship Id="rId6" Type="http://schemas.openxmlformats.org/officeDocument/2006/relationships/hyperlink" Target="https://login.consultant.ru/link/?req=doc&amp;base=RZB&amp;n=494395&amp;dst=8647" TargetMode="External"/><Relationship Id="rId7" Type="http://schemas.openxmlformats.org/officeDocument/2006/relationships/hyperlink" Target="https://login.consultant.ru/link/?req=doc&amp;base=RLAW071&amp;n=388391&amp;dst=100011" TargetMode="External"/><Relationship Id="rId8" Type="http://schemas.openxmlformats.org/officeDocument/2006/relationships/hyperlink" Target="https://login.consultant.ru/link/?req=doc&amp;base=RLAW071&amp;n=388391&amp;dst=100011" TargetMode="External"/><Relationship Id="rId9" Type="http://schemas.openxmlformats.org/officeDocument/2006/relationships/image" Target="media/image1.wmf"/><Relationship Id="rId10" Type="http://schemas.openxmlformats.org/officeDocument/2006/relationships/hyperlink" Target="https://login.consultant.ru/link/?req=doc&amp;base=RZB&amp;n=466790" TargetMode="External"/><Relationship Id="rId11" Type="http://schemas.openxmlformats.org/officeDocument/2006/relationships/hyperlink" Target="https://login.consultant.ru/link/?req=doc&amp;base=RZB&amp;n=490061" TargetMode="External"/><Relationship Id="rId12" Type="http://schemas.openxmlformats.org/officeDocument/2006/relationships/hyperlink" Target="https://login.consultant.ru/link/?req=doc&amp;base=RZB&amp;n=494395" TargetMode="External"/><Relationship Id="rId13" Type="http://schemas.openxmlformats.org/officeDocument/2006/relationships/hyperlink" Target="https://login.consultant.ru/link/?req=doc&amp;base=RLAW071&amp;n=374931" TargetMode="External"/><Relationship Id="rId14" Type="http://schemas.openxmlformats.org/officeDocument/2006/relationships/hyperlink" Target="https://login.consultant.ru/link/?req=doc&amp;base=RZB&amp;n=466790&amp;dst=5192" TargetMode="External"/><Relationship Id="rId15" Type="http://schemas.openxmlformats.org/officeDocument/2006/relationships/hyperlink" Target="https://login.consultant.ru/link/?req=doc&amp;base=RZB&amp;n=494395&amp;dst=110576" TargetMode="External"/><Relationship Id="rId16" Type="http://schemas.openxmlformats.org/officeDocument/2006/relationships/hyperlink" Target="https://login.consultant.ru/link/?req=doc&amp;base=RZB&amp;n=466790&amp;dst=5197" TargetMode="External"/><Relationship Id="rId17" Type="http://schemas.openxmlformats.org/officeDocument/2006/relationships/hyperlink" Target="https://login.consultant.ru/link/?req=doc&amp;base=RZB&amp;n=494395&amp;dst=110576" TargetMode="External"/><Relationship Id="rId18" Type="http://schemas.openxmlformats.org/officeDocument/2006/relationships/hyperlink" Target="https://login.consultant.ru/link/?req=doc&amp;base=RZB&amp;n=494395&amp;dst=981" TargetMode="External"/><Relationship Id="rId19" Type="http://schemas.openxmlformats.org/officeDocument/2006/relationships/hyperlink" Target="https://login.consultant.ru/link/?req=doc&amp;base=RZB&amp;n=494395&amp;dst=110576" TargetMode="External"/><Relationship Id="rId20" Type="http://schemas.openxmlformats.org/officeDocument/2006/relationships/hyperlink" Target="https://login.consultant.ru/link/?req=doc&amp;base=RZB&amp;n=494395&amp;dst=981" TargetMode="External"/><Relationship Id="rId21" Type="http://schemas.openxmlformats.org/officeDocument/2006/relationships/hyperlink" Target="https://login.consultant.ru/link/?req=doc&amp;base=RZB&amp;n=466790&amp;dst=7144" TargetMode="External"/><Relationship Id="rId22" Type="http://schemas.openxmlformats.org/officeDocument/2006/relationships/hyperlink" Target="https://login.consultant.ru/link/?req=doc&amp;base=RZB&amp;n=494395&amp;dst=110576" TargetMode="External"/><Relationship Id="rId23" Type="http://schemas.openxmlformats.org/officeDocument/2006/relationships/hyperlink" Target="https://login.consultant.ru/link/?req=doc&amp;base=RZB&amp;n=494395&amp;dst=981" TargetMode="External"/><Relationship Id="rId24" Type="http://schemas.openxmlformats.org/officeDocument/2006/relationships/hyperlink" Target="https://login.consultant.ru/link/?req=doc&amp;base=RZB&amp;n=466154" TargetMode="External"/><Relationship Id="rId25" Type="http://schemas.openxmlformats.org/officeDocument/2006/relationships/hyperlink" Target="https://login.consultant.ru/link/?req=doc&amp;base=RZB&amp;n=466154" TargetMode="External"/><Relationship Id="rId26" Type="http://schemas.openxmlformats.org/officeDocument/2006/relationships/hyperlink" Target="https://login.consultant.ru/link/?req=doc&amp;base=RZB&amp;n=466154&amp;dst=2038" TargetMode="External"/><Relationship Id="rId27" Type="http://schemas.openxmlformats.org/officeDocument/2006/relationships/fontTable" Target="fontTable.xml"/><Relationship Id="rId28" Type="http://schemas.openxmlformats.org/officeDocument/2006/relationships/settings" Target="settings.xml"/><Relationship Id="rId2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9</TotalTime>
  <Application>LibreOffice/25.8.2.2$Linux_X86_64 LibreOffice_project/d401f2107ccab8f924a8e2df40f573aab7605b6f</Application>
  <AppVersion>15.0000</AppVersion>
  <Pages>12</Pages>
  <Words>4216</Words>
  <Characters>30462</Characters>
  <CharactersWithSpaces>34565</CharactersWithSpaces>
  <Paragraphs>229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2025-12-19T04:52:00Z</dcterms:created>
  <dc:creator>User3</dc:creator>
  <dc:description/>
  <dc:language>ru-RU</dc:language>
  <cp:lastModifiedBy/>
  <cp:lastPrinted>2025-12-19T05:06:00Z</cp:lastPrinted>
  <dcterms:modified xsi:type="dcterms:W3CDTF">2026-01-19T11:55:00Z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